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975" w:rsidRDefault="00522FF2">
      <w:r w:rsidRPr="00522FF2">
        <w:rPr>
          <w:noProof/>
        </w:rPr>
        <w:drawing>
          <wp:inline distT="0" distB="0" distL="0" distR="0">
            <wp:extent cx="5731510" cy="4052377"/>
            <wp:effectExtent l="0" t="0" r="2540" b="5715"/>
            <wp:docPr id="2" name="Picture 2" descr="S:\General\Logos\Trust 2018\Castlehill Housing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Logos\Trust 2018\Castlehill Housing Trus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052377"/>
                    </a:xfrm>
                    <a:prstGeom prst="rect">
                      <a:avLst/>
                    </a:prstGeom>
                    <a:noFill/>
                    <a:ln>
                      <a:noFill/>
                    </a:ln>
                  </pic:spPr>
                </pic:pic>
              </a:graphicData>
            </a:graphic>
          </wp:inline>
        </w:drawing>
      </w:r>
    </w:p>
    <w:p w:rsidR="00574975" w:rsidRDefault="00574975"/>
    <w:p w:rsidR="00574975" w:rsidRDefault="00574975"/>
    <w:p w:rsidR="00574975" w:rsidRDefault="00522FF2" w:rsidP="00451558">
      <w:pPr>
        <w:pStyle w:val="Title"/>
        <w:jc w:val="center"/>
      </w:pPr>
      <w:r>
        <w:t>Business Plan 2020– 2022</w:t>
      </w:r>
    </w:p>
    <w:p w:rsidR="00574975" w:rsidRDefault="00574975" w:rsidP="00574975"/>
    <w:p w:rsidR="00910269" w:rsidRDefault="00910269" w:rsidP="00574975"/>
    <w:p w:rsidR="00574975" w:rsidRDefault="00574975" w:rsidP="00574975"/>
    <w:p w:rsidR="00574975" w:rsidRDefault="00574975" w:rsidP="00574975"/>
    <w:p w:rsidR="00574975" w:rsidRDefault="00AF651A" w:rsidP="00574975">
      <w:r>
        <w:t>CH</w:t>
      </w:r>
      <w:r w:rsidR="00574975">
        <w:t xml:space="preserve">T is a subsidiary of Castlehill Housing Association Limited          </w:t>
      </w:r>
      <w:r w:rsidR="00574975">
        <w:rPr>
          <w:noProof/>
          <w:lang w:eastAsia="en-GB"/>
        </w:rPr>
        <w:drawing>
          <wp:inline distT="0" distB="0" distL="0" distR="0" wp14:anchorId="7E4CF914" wp14:editId="69FC75AA">
            <wp:extent cx="148604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hill logo20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254" cy="856797"/>
                    </a:xfrm>
                    <a:prstGeom prst="rect">
                      <a:avLst/>
                    </a:prstGeom>
                  </pic:spPr>
                </pic:pic>
              </a:graphicData>
            </a:graphic>
          </wp:inline>
        </w:drawing>
      </w:r>
    </w:p>
    <w:p w:rsidR="00E94598" w:rsidRDefault="00E94598" w:rsidP="00EA6414">
      <w:pPr>
        <w:rPr>
          <w:i/>
        </w:rPr>
      </w:pPr>
    </w:p>
    <w:p w:rsidR="001F356B" w:rsidRDefault="001F356B" w:rsidP="00EA6414">
      <w:pPr>
        <w:rPr>
          <w:i/>
        </w:rPr>
      </w:pPr>
    </w:p>
    <w:p w:rsidR="00E94598" w:rsidRPr="00EA6414" w:rsidRDefault="00E94598" w:rsidP="00EA6414">
      <w:pPr>
        <w:rPr>
          <w:i/>
        </w:rPr>
      </w:pPr>
    </w:p>
    <w:p w:rsidR="00EA6414" w:rsidRDefault="00EA6414" w:rsidP="00574975"/>
    <w:p w:rsidR="005969FC" w:rsidRPr="005969FC" w:rsidRDefault="00522FF2" w:rsidP="00EF44EB">
      <w:pPr>
        <w:pStyle w:val="Heading1"/>
        <w:jc w:val="center"/>
      </w:pPr>
      <w:r>
        <w:t>Castlehill Housing Trust</w:t>
      </w:r>
    </w:p>
    <w:p w:rsidR="005969FC" w:rsidRDefault="005969FC" w:rsidP="00451558">
      <w:pPr>
        <w:pStyle w:val="Heading1"/>
        <w:ind w:left="720"/>
        <w:jc w:val="center"/>
      </w:pPr>
      <w:r>
        <w:t xml:space="preserve">Business Plan </w:t>
      </w:r>
      <w:r w:rsidR="00522FF2">
        <w:t>2010-2022</w:t>
      </w:r>
    </w:p>
    <w:p w:rsidR="005969FC" w:rsidRDefault="005969FC" w:rsidP="005969FC"/>
    <w:p w:rsidR="005969FC" w:rsidRPr="005969FC" w:rsidRDefault="005969FC" w:rsidP="005969FC">
      <w:pPr>
        <w:pStyle w:val="Heading1"/>
        <w:jc w:val="center"/>
      </w:pPr>
      <w:r>
        <w:t>Contents</w:t>
      </w:r>
    </w:p>
    <w:p w:rsidR="005969FC" w:rsidRDefault="005969FC"/>
    <w:tbl>
      <w:tblPr>
        <w:tblW w:w="0" w:type="auto"/>
        <w:jc w:val="center"/>
        <w:tblLook w:val="04A0" w:firstRow="1" w:lastRow="0" w:firstColumn="1" w:lastColumn="0" w:noHBand="0" w:noVBand="1"/>
      </w:tblPr>
      <w:tblGrid>
        <w:gridCol w:w="4788"/>
        <w:gridCol w:w="914"/>
      </w:tblGrid>
      <w:tr w:rsidR="00EF737C" w:rsidRPr="00EF737C" w:rsidTr="00EE1677">
        <w:trPr>
          <w:jc w:val="center"/>
        </w:trPr>
        <w:tc>
          <w:tcPr>
            <w:tcW w:w="4788" w:type="dxa"/>
          </w:tcPr>
          <w:p w:rsidR="00EF737C" w:rsidRPr="00EF737C" w:rsidRDefault="00EF737C" w:rsidP="00EF737C">
            <w:pPr>
              <w:jc w:val="center"/>
              <w:rPr>
                <w:sz w:val="28"/>
                <w:szCs w:val="28"/>
              </w:rPr>
            </w:pPr>
          </w:p>
        </w:tc>
        <w:tc>
          <w:tcPr>
            <w:tcW w:w="914" w:type="dxa"/>
          </w:tcPr>
          <w:p w:rsidR="00EF737C" w:rsidRPr="00EF737C" w:rsidRDefault="00EF737C" w:rsidP="00EF737C">
            <w:pPr>
              <w:jc w:val="center"/>
              <w:rPr>
                <w:sz w:val="28"/>
                <w:szCs w:val="28"/>
              </w:rPr>
            </w:pPr>
            <w:r w:rsidRPr="00EF737C">
              <w:rPr>
                <w:sz w:val="28"/>
                <w:szCs w:val="28"/>
              </w:rPr>
              <w:t>Page</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Introduction</w:t>
            </w:r>
          </w:p>
        </w:tc>
        <w:tc>
          <w:tcPr>
            <w:tcW w:w="914" w:type="dxa"/>
          </w:tcPr>
          <w:p w:rsidR="00EF737C" w:rsidRPr="00EF737C" w:rsidRDefault="00FB28C0" w:rsidP="00EF737C">
            <w:pPr>
              <w:jc w:val="center"/>
              <w:rPr>
                <w:sz w:val="28"/>
                <w:szCs w:val="28"/>
              </w:rPr>
            </w:pPr>
            <w:r>
              <w:rPr>
                <w:sz w:val="28"/>
                <w:szCs w:val="28"/>
              </w:rPr>
              <w:t>2</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 xml:space="preserve">About </w:t>
            </w:r>
            <w:r w:rsidR="00522FF2">
              <w:rPr>
                <w:sz w:val="28"/>
                <w:szCs w:val="28"/>
              </w:rPr>
              <w:t>CHT</w:t>
            </w:r>
          </w:p>
        </w:tc>
        <w:tc>
          <w:tcPr>
            <w:tcW w:w="914" w:type="dxa"/>
          </w:tcPr>
          <w:p w:rsidR="00EF737C" w:rsidRPr="00EF737C" w:rsidRDefault="00FB28C0" w:rsidP="00EF737C">
            <w:pPr>
              <w:jc w:val="center"/>
              <w:rPr>
                <w:sz w:val="28"/>
                <w:szCs w:val="28"/>
              </w:rPr>
            </w:pPr>
            <w:r>
              <w:rPr>
                <w:sz w:val="28"/>
                <w:szCs w:val="28"/>
              </w:rPr>
              <w:t>2</w:t>
            </w:r>
          </w:p>
        </w:tc>
      </w:tr>
      <w:tr w:rsidR="00EF737C" w:rsidRPr="00EF737C" w:rsidTr="00EE1677">
        <w:trPr>
          <w:jc w:val="center"/>
        </w:trPr>
        <w:tc>
          <w:tcPr>
            <w:tcW w:w="4788" w:type="dxa"/>
          </w:tcPr>
          <w:p w:rsidR="00EF737C" w:rsidRPr="00EF737C" w:rsidRDefault="00522FF2" w:rsidP="00847075">
            <w:pPr>
              <w:rPr>
                <w:sz w:val="28"/>
                <w:szCs w:val="28"/>
              </w:rPr>
            </w:pPr>
            <w:r>
              <w:rPr>
                <w:sz w:val="28"/>
                <w:szCs w:val="28"/>
              </w:rPr>
              <w:t>Strategic objectives 2020-22</w:t>
            </w:r>
          </w:p>
        </w:tc>
        <w:tc>
          <w:tcPr>
            <w:tcW w:w="914" w:type="dxa"/>
          </w:tcPr>
          <w:p w:rsidR="00EF737C" w:rsidRPr="00EF737C" w:rsidRDefault="00EB72B5" w:rsidP="00EF737C">
            <w:pPr>
              <w:jc w:val="center"/>
              <w:rPr>
                <w:sz w:val="28"/>
                <w:szCs w:val="28"/>
              </w:rPr>
            </w:pPr>
            <w:r>
              <w:rPr>
                <w:sz w:val="28"/>
                <w:szCs w:val="28"/>
              </w:rPr>
              <w:t>4</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Structure</w:t>
            </w:r>
          </w:p>
        </w:tc>
        <w:tc>
          <w:tcPr>
            <w:tcW w:w="914" w:type="dxa"/>
          </w:tcPr>
          <w:p w:rsidR="00EF737C" w:rsidRPr="00EF737C" w:rsidRDefault="00BF4630" w:rsidP="00EF737C">
            <w:pPr>
              <w:jc w:val="center"/>
              <w:rPr>
                <w:sz w:val="28"/>
                <w:szCs w:val="28"/>
              </w:rPr>
            </w:pPr>
            <w:r>
              <w:rPr>
                <w:sz w:val="28"/>
                <w:szCs w:val="28"/>
              </w:rPr>
              <w:t>7</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Housing stock maintenance</w:t>
            </w:r>
          </w:p>
        </w:tc>
        <w:tc>
          <w:tcPr>
            <w:tcW w:w="914" w:type="dxa"/>
          </w:tcPr>
          <w:p w:rsidR="00EF737C" w:rsidRPr="00EF737C" w:rsidRDefault="00EF737C" w:rsidP="00EF737C">
            <w:pPr>
              <w:jc w:val="center"/>
              <w:rPr>
                <w:sz w:val="28"/>
                <w:szCs w:val="28"/>
              </w:rPr>
            </w:pPr>
            <w:r w:rsidRPr="00EF737C">
              <w:rPr>
                <w:sz w:val="28"/>
                <w:szCs w:val="28"/>
              </w:rPr>
              <w:t>7</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Rent &amp; service charges</w:t>
            </w:r>
          </w:p>
        </w:tc>
        <w:tc>
          <w:tcPr>
            <w:tcW w:w="914" w:type="dxa"/>
          </w:tcPr>
          <w:p w:rsidR="00EF737C" w:rsidRPr="00EF737C" w:rsidRDefault="00BF4630" w:rsidP="00EF737C">
            <w:pPr>
              <w:jc w:val="center"/>
              <w:rPr>
                <w:sz w:val="28"/>
                <w:szCs w:val="28"/>
              </w:rPr>
            </w:pPr>
            <w:r>
              <w:rPr>
                <w:sz w:val="28"/>
                <w:szCs w:val="28"/>
              </w:rPr>
              <w:t>8</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New housing opportunities</w:t>
            </w:r>
          </w:p>
        </w:tc>
        <w:tc>
          <w:tcPr>
            <w:tcW w:w="914" w:type="dxa"/>
          </w:tcPr>
          <w:p w:rsidR="00EF737C" w:rsidRPr="00EF737C" w:rsidRDefault="00EF737C" w:rsidP="00EF737C">
            <w:pPr>
              <w:jc w:val="center"/>
              <w:rPr>
                <w:sz w:val="28"/>
                <w:szCs w:val="28"/>
              </w:rPr>
            </w:pPr>
            <w:r w:rsidRPr="00EF737C">
              <w:rPr>
                <w:sz w:val="28"/>
                <w:szCs w:val="28"/>
              </w:rPr>
              <w:t>8</w:t>
            </w:r>
          </w:p>
        </w:tc>
      </w:tr>
      <w:tr w:rsidR="00EF737C" w:rsidRPr="00EF737C" w:rsidTr="00EE1677">
        <w:trPr>
          <w:jc w:val="center"/>
        </w:trPr>
        <w:tc>
          <w:tcPr>
            <w:tcW w:w="4788" w:type="dxa"/>
          </w:tcPr>
          <w:p w:rsidR="00EF737C" w:rsidRPr="00EF737C" w:rsidRDefault="00EF737C" w:rsidP="00EF737C">
            <w:pPr>
              <w:rPr>
                <w:sz w:val="28"/>
                <w:szCs w:val="28"/>
              </w:rPr>
            </w:pPr>
            <w:r w:rsidRPr="00EF737C">
              <w:rPr>
                <w:sz w:val="28"/>
                <w:szCs w:val="28"/>
              </w:rPr>
              <w:t>Staffing &amp; service</w:t>
            </w:r>
          </w:p>
        </w:tc>
        <w:tc>
          <w:tcPr>
            <w:tcW w:w="914" w:type="dxa"/>
          </w:tcPr>
          <w:p w:rsidR="00EF737C" w:rsidRPr="00EF737C" w:rsidRDefault="00BF4630" w:rsidP="00EF737C">
            <w:pPr>
              <w:jc w:val="center"/>
              <w:rPr>
                <w:sz w:val="28"/>
                <w:szCs w:val="28"/>
              </w:rPr>
            </w:pPr>
            <w:r>
              <w:rPr>
                <w:sz w:val="28"/>
                <w:szCs w:val="28"/>
              </w:rPr>
              <w:t>9</w:t>
            </w:r>
          </w:p>
        </w:tc>
      </w:tr>
      <w:tr w:rsidR="00EF737C" w:rsidRPr="00EF737C" w:rsidTr="00EE1677">
        <w:trPr>
          <w:jc w:val="center"/>
        </w:trPr>
        <w:tc>
          <w:tcPr>
            <w:tcW w:w="4788" w:type="dxa"/>
          </w:tcPr>
          <w:p w:rsidR="001927BD" w:rsidRPr="00EF737C" w:rsidRDefault="00EF737C" w:rsidP="00EF737C">
            <w:pPr>
              <w:rPr>
                <w:sz w:val="28"/>
                <w:szCs w:val="28"/>
              </w:rPr>
            </w:pPr>
            <w:r w:rsidRPr="00EF737C">
              <w:rPr>
                <w:sz w:val="28"/>
                <w:szCs w:val="28"/>
              </w:rPr>
              <w:t>Policy &amp; procedures development</w:t>
            </w:r>
            <w:r w:rsidR="00E94598">
              <w:rPr>
                <w:sz w:val="28"/>
                <w:szCs w:val="28"/>
              </w:rPr>
              <w:t xml:space="preserve">   </w:t>
            </w:r>
          </w:p>
        </w:tc>
        <w:tc>
          <w:tcPr>
            <w:tcW w:w="914" w:type="dxa"/>
          </w:tcPr>
          <w:p w:rsidR="001927BD" w:rsidRPr="00EF737C" w:rsidRDefault="00BA16E0" w:rsidP="00E94598">
            <w:pPr>
              <w:jc w:val="center"/>
              <w:rPr>
                <w:sz w:val="28"/>
                <w:szCs w:val="28"/>
              </w:rPr>
            </w:pPr>
            <w:r>
              <w:rPr>
                <w:sz w:val="28"/>
                <w:szCs w:val="28"/>
              </w:rPr>
              <w:t>9</w:t>
            </w:r>
          </w:p>
        </w:tc>
      </w:tr>
      <w:tr w:rsidR="00E94598" w:rsidRPr="00EF737C" w:rsidTr="00EE1677">
        <w:trPr>
          <w:jc w:val="center"/>
        </w:trPr>
        <w:tc>
          <w:tcPr>
            <w:tcW w:w="4788" w:type="dxa"/>
          </w:tcPr>
          <w:p w:rsidR="00E94598" w:rsidRPr="00EF737C" w:rsidRDefault="00E94598" w:rsidP="00EF737C">
            <w:pPr>
              <w:rPr>
                <w:sz w:val="28"/>
                <w:szCs w:val="28"/>
              </w:rPr>
            </w:pPr>
            <w:r>
              <w:rPr>
                <w:sz w:val="28"/>
                <w:szCs w:val="28"/>
              </w:rPr>
              <w:t>Risks &amp; Controls</w:t>
            </w:r>
          </w:p>
        </w:tc>
        <w:tc>
          <w:tcPr>
            <w:tcW w:w="914" w:type="dxa"/>
          </w:tcPr>
          <w:p w:rsidR="00E94598" w:rsidRDefault="00E94598" w:rsidP="00EF737C">
            <w:pPr>
              <w:jc w:val="center"/>
              <w:rPr>
                <w:sz w:val="28"/>
                <w:szCs w:val="28"/>
              </w:rPr>
            </w:pPr>
            <w:r>
              <w:rPr>
                <w:sz w:val="28"/>
                <w:szCs w:val="28"/>
              </w:rPr>
              <w:t>10</w:t>
            </w:r>
          </w:p>
        </w:tc>
      </w:tr>
      <w:tr w:rsidR="003E2F7D" w:rsidRPr="00EF737C" w:rsidTr="00EE1677">
        <w:trPr>
          <w:jc w:val="center"/>
        </w:trPr>
        <w:tc>
          <w:tcPr>
            <w:tcW w:w="4788" w:type="dxa"/>
          </w:tcPr>
          <w:p w:rsidR="003E2F7D" w:rsidRDefault="003E2F7D" w:rsidP="00EF737C">
            <w:pPr>
              <w:rPr>
                <w:sz w:val="28"/>
                <w:szCs w:val="28"/>
              </w:rPr>
            </w:pPr>
          </w:p>
        </w:tc>
        <w:tc>
          <w:tcPr>
            <w:tcW w:w="914" w:type="dxa"/>
          </w:tcPr>
          <w:p w:rsidR="003E2F7D" w:rsidRDefault="003E2F7D" w:rsidP="00EF737C">
            <w:pPr>
              <w:jc w:val="center"/>
              <w:rPr>
                <w:sz w:val="28"/>
                <w:szCs w:val="28"/>
              </w:rPr>
            </w:pPr>
          </w:p>
        </w:tc>
      </w:tr>
      <w:tr w:rsidR="00E94598" w:rsidRPr="00EF737C" w:rsidTr="00EE1677">
        <w:trPr>
          <w:jc w:val="center"/>
        </w:trPr>
        <w:tc>
          <w:tcPr>
            <w:tcW w:w="4788" w:type="dxa"/>
          </w:tcPr>
          <w:p w:rsidR="00E94598" w:rsidRDefault="00E94598" w:rsidP="00EF737C">
            <w:pPr>
              <w:rPr>
                <w:sz w:val="28"/>
                <w:szCs w:val="28"/>
              </w:rPr>
            </w:pPr>
            <w:r>
              <w:rPr>
                <w:sz w:val="28"/>
                <w:szCs w:val="28"/>
              </w:rPr>
              <w:t>Appendix 1 – Property details</w:t>
            </w:r>
          </w:p>
        </w:tc>
        <w:tc>
          <w:tcPr>
            <w:tcW w:w="914" w:type="dxa"/>
          </w:tcPr>
          <w:p w:rsidR="00E94598" w:rsidRDefault="00E94598" w:rsidP="00EF737C">
            <w:pPr>
              <w:jc w:val="center"/>
              <w:rPr>
                <w:sz w:val="28"/>
                <w:szCs w:val="28"/>
              </w:rPr>
            </w:pPr>
          </w:p>
        </w:tc>
      </w:tr>
    </w:tbl>
    <w:p w:rsidR="00EF737C" w:rsidRPr="001927BD" w:rsidRDefault="001927BD">
      <w:pPr>
        <w:rPr>
          <w:sz w:val="28"/>
          <w:szCs w:val="28"/>
        </w:rPr>
      </w:pPr>
      <w:r>
        <w:t xml:space="preserve">                                            </w:t>
      </w:r>
    </w:p>
    <w:p w:rsidR="005969FC" w:rsidRDefault="005969FC">
      <w:pPr>
        <w:rPr>
          <w:rFonts w:asciiTheme="majorHAnsi" w:eastAsiaTheme="majorEastAsia" w:hAnsiTheme="majorHAnsi" w:cstheme="majorBidi"/>
          <w:b/>
          <w:bCs/>
          <w:color w:val="365F91" w:themeColor="accent1" w:themeShade="BF"/>
          <w:sz w:val="28"/>
          <w:szCs w:val="28"/>
        </w:rPr>
      </w:pPr>
      <w:r>
        <w:tab/>
      </w:r>
      <w:r>
        <w:br w:type="page"/>
      </w:r>
    </w:p>
    <w:p w:rsidR="00574975" w:rsidRPr="00243BB6" w:rsidRDefault="005969FC"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lastRenderedPageBreak/>
        <w:t>Introduction</w:t>
      </w:r>
    </w:p>
    <w:p w:rsidR="008A44EB" w:rsidRDefault="008A44EB" w:rsidP="001F356B">
      <w:pPr>
        <w:spacing w:after="120"/>
      </w:pPr>
    </w:p>
    <w:p w:rsidR="004212EA" w:rsidRDefault="00043989" w:rsidP="00043989">
      <w:r>
        <w:t xml:space="preserve">This document sets out the intended business activities of </w:t>
      </w:r>
      <w:r w:rsidR="00522FF2">
        <w:t>Castlehill Housing</w:t>
      </w:r>
      <w:r>
        <w:t xml:space="preserve"> Trust (hereafter referred to as </w:t>
      </w:r>
      <w:proofErr w:type="gramStart"/>
      <w:r w:rsidR="00522FF2">
        <w:t>CHT</w:t>
      </w:r>
      <w:r w:rsidR="005530A8">
        <w:t>)</w:t>
      </w:r>
      <w:r w:rsidR="00522FF2">
        <w:t xml:space="preserve">  for</w:t>
      </w:r>
      <w:proofErr w:type="gramEnd"/>
      <w:r w:rsidR="00522FF2">
        <w:t xml:space="preserve"> the period 2020 to 2022</w:t>
      </w:r>
      <w:r>
        <w:t xml:space="preserve">. </w:t>
      </w:r>
      <w:r w:rsidR="00522FF2">
        <w:t>CHT</w:t>
      </w:r>
      <w:r>
        <w:t xml:space="preserve"> is a subsidiary of the Registered Social Landlord, Castlehill Housing Association</w:t>
      </w:r>
      <w:r w:rsidR="00522FF2">
        <w:t xml:space="preserve"> Ltd</w:t>
      </w:r>
      <w:r>
        <w:t xml:space="preserve">. </w:t>
      </w:r>
      <w:r w:rsidR="00743BB4">
        <w:t xml:space="preserve"> </w:t>
      </w:r>
      <w:r w:rsidR="00522FF2">
        <w:t>CHT</w:t>
      </w:r>
      <w:r w:rsidR="004212EA">
        <w:t xml:space="preserve"> is a company limited by guarantee (company number SC168624) and recognised as a charity by the Office of the Scottish Charity Regulator (OSCR) (charity number SC025334). </w:t>
      </w:r>
    </w:p>
    <w:p w:rsidR="00043989" w:rsidRDefault="008A44EB" w:rsidP="00043989">
      <w:r>
        <w:rPr>
          <w:noProof/>
          <w:lang w:eastAsia="en-GB"/>
        </w:rPr>
        <w:drawing>
          <wp:anchor distT="0" distB="0" distL="114300" distR="114300" simplePos="0" relativeHeight="251658240" behindDoc="0" locked="0" layoutInCell="1" allowOverlap="1" wp14:anchorId="56EC110F" wp14:editId="3957526D">
            <wp:simplePos x="0" y="0"/>
            <wp:positionH relativeFrom="column">
              <wp:posOffset>2695575</wp:posOffset>
            </wp:positionH>
            <wp:positionV relativeFrom="paragraph">
              <wp:posOffset>164465</wp:posOffset>
            </wp:positionV>
            <wp:extent cx="3190875" cy="2000250"/>
            <wp:effectExtent l="0" t="0" r="0" b="190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522FF2">
        <w:rPr>
          <w:noProof/>
          <w:lang w:eastAsia="en-GB"/>
        </w:rPr>
        <w:t>CHT</w:t>
      </w:r>
      <w:r w:rsidR="00043989">
        <w:t xml:space="preserve"> helps Castlehill</w:t>
      </w:r>
      <w:r w:rsidR="004212EA">
        <w:t xml:space="preserve"> Housing Association</w:t>
      </w:r>
      <w:r w:rsidR="00043989">
        <w:t xml:space="preserve"> to deliver on its Aims and Objectives as a </w:t>
      </w:r>
      <w:r w:rsidR="004212EA">
        <w:t>c</w:t>
      </w:r>
      <w:r w:rsidR="00043989">
        <w:t xml:space="preserve">haritable </w:t>
      </w:r>
      <w:proofErr w:type="gramStart"/>
      <w:r w:rsidR="00043989">
        <w:t>organisation</w:t>
      </w:r>
      <w:r w:rsidR="005530A8">
        <w:t xml:space="preserve">, </w:t>
      </w:r>
      <w:r w:rsidR="00043989">
        <w:t>but</w:t>
      </w:r>
      <w:proofErr w:type="gramEnd"/>
      <w:r w:rsidR="00043989">
        <w:t xml:space="preserve"> retains its distinct identity and specialism in the housing options it delivers. </w:t>
      </w:r>
      <w:r w:rsidR="00522FF2">
        <w:t>CHT</w:t>
      </w:r>
      <w:r w:rsidR="00743BB4">
        <w:t xml:space="preserve"> is</w:t>
      </w:r>
      <w:r w:rsidR="00AF651A">
        <w:t xml:space="preserve"> managed in a way that is “self-</w:t>
      </w:r>
      <w:r w:rsidR="001A02D4">
        <w:t xml:space="preserve">sufficient” </w:t>
      </w:r>
      <w:proofErr w:type="gramStart"/>
      <w:r w:rsidR="001A02D4">
        <w:t>en</w:t>
      </w:r>
      <w:r w:rsidR="00AF651A">
        <w:t>suring  that</w:t>
      </w:r>
      <w:proofErr w:type="gramEnd"/>
      <w:r w:rsidR="00AF651A">
        <w:t xml:space="preserve">  CHT has its  own income stream that  can cover all their </w:t>
      </w:r>
      <w:r w:rsidR="001A02D4">
        <w:t xml:space="preserve"> outlays and obligations</w:t>
      </w:r>
      <w:r w:rsidR="00AA59EE">
        <w:t>,</w:t>
      </w:r>
      <w:r w:rsidR="001A02D4">
        <w:t xml:space="preserve"> and will have no negative impact on the financial position of Castlehill Housing </w:t>
      </w:r>
      <w:r w:rsidR="0064244D">
        <w:t>A</w:t>
      </w:r>
      <w:r w:rsidR="001A02D4">
        <w:t>ssociation.</w:t>
      </w:r>
    </w:p>
    <w:p w:rsidR="00EA3E29" w:rsidRDefault="00EA3E29" w:rsidP="00043989">
      <w:r>
        <w:t xml:space="preserve">This document should be read in the context of </w:t>
      </w:r>
      <w:r w:rsidR="00522FF2">
        <w:t xml:space="preserve">CHT’s </w:t>
      </w:r>
      <w:r>
        <w:t>financial projections that are designed to underpin the delivery of its Business Plan.</w:t>
      </w:r>
    </w:p>
    <w:p w:rsidR="00297F63" w:rsidRDefault="00297F63" w:rsidP="00043989"/>
    <w:p w:rsidR="004212EA" w:rsidRPr="00243BB6" w:rsidRDefault="004212EA"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t xml:space="preserve">About </w:t>
      </w:r>
      <w:r w:rsidR="00522FF2">
        <w:rPr>
          <w:rFonts w:asciiTheme="minorHAnsi" w:hAnsiTheme="minorHAnsi" w:cstheme="minorHAnsi"/>
          <w:bCs w:val="0"/>
          <w:lang w:eastAsia="en-GB"/>
        </w:rPr>
        <w:t>CHT</w:t>
      </w:r>
    </w:p>
    <w:p w:rsidR="00B60AD4" w:rsidRPr="00B60AD4" w:rsidRDefault="00B60AD4" w:rsidP="001F356B">
      <w:pPr>
        <w:spacing w:after="120"/>
      </w:pPr>
    </w:p>
    <w:p w:rsidR="00B60AD4" w:rsidRPr="00B60AD4" w:rsidRDefault="00743BB4" w:rsidP="00B60AD4">
      <w:r>
        <w:t xml:space="preserve">From its formation in 1996, </w:t>
      </w:r>
      <w:r w:rsidR="00522FF2">
        <w:t>CHT</w:t>
      </w:r>
      <w:r w:rsidR="00B60AD4" w:rsidRPr="00B60AD4">
        <w:t xml:space="preserve">’s remit was to develop </w:t>
      </w:r>
      <w:r w:rsidR="00522FF2">
        <w:t xml:space="preserve">supported </w:t>
      </w:r>
      <w:r w:rsidR="00B60AD4" w:rsidRPr="00B60AD4">
        <w:t xml:space="preserve">housing in response to the increasing demand for adapted accommodation for people with </w:t>
      </w:r>
      <w:proofErr w:type="gramStart"/>
      <w:r w:rsidR="00B60AD4" w:rsidRPr="00B60AD4">
        <w:t>particular needs</w:t>
      </w:r>
      <w:proofErr w:type="gramEnd"/>
      <w:r w:rsidR="00B60AD4" w:rsidRPr="00B60AD4">
        <w:t>.</w:t>
      </w:r>
      <w:r w:rsidR="00297F63">
        <w:t xml:space="preserve"> </w:t>
      </w:r>
      <w:r w:rsidR="00B60AD4" w:rsidRPr="00B60AD4">
        <w:t xml:space="preserve"> This has included people with physical disabilities, sensory disabilities, autistic spectrum disorder and challenging behaviour.</w:t>
      </w:r>
    </w:p>
    <w:p w:rsidR="00B60AD4" w:rsidRPr="00B60AD4" w:rsidRDefault="00B60AD4" w:rsidP="00B60AD4">
      <w:r w:rsidRPr="00B60AD4">
        <w:t xml:space="preserve">To develop this type of housing </w:t>
      </w:r>
      <w:r w:rsidR="00522FF2">
        <w:t>CHT</w:t>
      </w:r>
      <w:r w:rsidRPr="00B60AD4">
        <w:t xml:space="preserve"> has worked in partnership with Local Authorities, </w:t>
      </w:r>
      <w:r w:rsidR="000C06EA">
        <w:t>Grampian NHS</w:t>
      </w:r>
      <w:r w:rsidRPr="00B60AD4">
        <w:t>, banks and building societies</w:t>
      </w:r>
      <w:r w:rsidR="000C06EA">
        <w:t>, and</w:t>
      </w:r>
      <w:r w:rsidRPr="00B60AD4">
        <w:t xml:space="preserve"> secure</w:t>
      </w:r>
      <w:r w:rsidR="000C06EA">
        <w:t>d</w:t>
      </w:r>
      <w:r w:rsidRPr="00B60AD4">
        <w:t xml:space="preserve"> government grants including special needs capital grant (SNCG), private sector housing grants</w:t>
      </w:r>
      <w:r w:rsidR="001D39EB">
        <w:t>, local authority grant funding</w:t>
      </w:r>
      <w:r w:rsidRPr="00B60AD4">
        <w:t xml:space="preserve"> and section 75 grants, </w:t>
      </w:r>
      <w:r w:rsidR="00135BD1">
        <w:t>as well as</w:t>
      </w:r>
      <w:r w:rsidRPr="00B60AD4">
        <w:t xml:space="preserve"> private loans. </w:t>
      </w:r>
    </w:p>
    <w:p w:rsidR="00B60AD4" w:rsidRPr="00B60AD4" w:rsidRDefault="00B60AD4" w:rsidP="00B60AD4">
      <w:r w:rsidRPr="00B60AD4">
        <w:t xml:space="preserve">This has resulted in </w:t>
      </w:r>
      <w:r w:rsidR="00522FF2">
        <w:t>CHT</w:t>
      </w:r>
      <w:r w:rsidR="00EF6CD6">
        <w:t xml:space="preserve"> housing over 150</w:t>
      </w:r>
      <w:r w:rsidRPr="00B60AD4">
        <w:t xml:space="preserve"> people in properties that range from group homes (including Houses in Multiple Occupation)</w:t>
      </w:r>
      <w:r w:rsidR="00297F63">
        <w:t>,</w:t>
      </w:r>
      <w:r w:rsidRPr="00B60AD4">
        <w:t xml:space="preserve"> homes for families and homes for individuals.  </w:t>
      </w:r>
    </w:p>
    <w:p w:rsidR="00B60AD4" w:rsidRPr="00B60AD4" w:rsidRDefault="00522FF2" w:rsidP="00B60AD4">
      <w:r>
        <w:t>CHT</w:t>
      </w:r>
      <w:r w:rsidR="00DC2AD0">
        <w:t xml:space="preserve"> rents</w:t>
      </w:r>
      <w:r w:rsidR="00A41878">
        <w:t xml:space="preserve"> properties</w:t>
      </w:r>
      <w:r w:rsidR="00B60AD4" w:rsidRPr="00B60AD4">
        <w:t xml:space="preserve"> to individual tenants through </w:t>
      </w:r>
      <w:r>
        <w:t>Pr</w:t>
      </w:r>
      <w:r w:rsidR="00A41878">
        <w:t>ivate Residential Tenancies (</w:t>
      </w:r>
      <w:r>
        <w:t xml:space="preserve">prior to December 2017 Assured </w:t>
      </w:r>
      <w:proofErr w:type="gramStart"/>
      <w:r>
        <w:t xml:space="preserve">tenancies) </w:t>
      </w:r>
      <w:r w:rsidR="00B60AD4" w:rsidRPr="00B60AD4">
        <w:t xml:space="preserve"> and</w:t>
      </w:r>
      <w:proofErr w:type="gramEnd"/>
      <w:r w:rsidR="00B60AD4" w:rsidRPr="00B60AD4">
        <w:t xml:space="preserve"> leases directly to service providers (who hold occupancy agreements with their service users). </w:t>
      </w:r>
      <w:r w:rsidR="00297F63">
        <w:t xml:space="preserve"> </w:t>
      </w:r>
    </w:p>
    <w:p w:rsidR="00B60AD4" w:rsidRPr="00B60AD4" w:rsidRDefault="00B60AD4" w:rsidP="00B60AD4">
      <w:r w:rsidRPr="00B60AD4">
        <w:t>The care</w:t>
      </w:r>
      <w:r w:rsidR="000C06EA">
        <w:t xml:space="preserve"> service </w:t>
      </w:r>
      <w:r w:rsidR="00135BD1">
        <w:t xml:space="preserve">provided </w:t>
      </w:r>
      <w:r w:rsidR="00135BD1" w:rsidRPr="00B60AD4">
        <w:t>in</w:t>
      </w:r>
      <w:r w:rsidRPr="00B60AD4">
        <w:t xml:space="preserve"> the properties depends on the needs of the individual.</w:t>
      </w:r>
      <w:r w:rsidR="00297F63">
        <w:t xml:space="preserve"> </w:t>
      </w:r>
      <w:r w:rsidRPr="00B60AD4">
        <w:t xml:space="preserve"> In some cases, for example, </w:t>
      </w:r>
      <w:r w:rsidR="00135BD1" w:rsidRPr="00B60AD4">
        <w:t>in homes</w:t>
      </w:r>
      <w:r w:rsidRPr="00B60AD4">
        <w:t xml:space="preserve"> provided for families, the family members provide the primary care</w:t>
      </w:r>
      <w:r w:rsidR="000C06EA">
        <w:t xml:space="preserve"> for a relative</w:t>
      </w:r>
      <w:r w:rsidRPr="00B60AD4">
        <w:t xml:space="preserve">, while in other cases a service provider commissioned by the local authority will be the </w:t>
      </w:r>
      <w:r w:rsidRPr="00B60AD4">
        <w:lastRenderedPageBreak/>
        <w:t xml:space="preserve">primary carer and will be registered with the Care Inspectorate. </w:t>
      </w:r>
      <w:r w:rsidR="00297F63">
        <w:t xml:space="preserve"> </w:t>
      </w:r>
      <w:r w:rsidRPr="00B60AD4">
        <w:t xml:space="preserve">The Trust is not registered with the Care Inspectorate as it does </w:t>
      </w:r>
      <w:r w:rsidR="0064244D">
        <w:t xml:space="preserve">not </w:t>
      </w:r>
      <w:r w:rsidRPr="00B60AD4">
        <w:t>provide any care services.</w:t>
      </w:r>
    </w:p>
    <w:p w:rsidR="00B60AD4" w:rsidRPr="00B60AD4" w:rsidRDefault="00B60AD4" w:rsidP="00B60AD4">
      <w:r w:rsidRPr="00B60AD4">
        <w:t>Appendix 1 summarises the types of Trust properties, the</w:t>
      </w:r>
      <w:r>
        <w:t>ir</w:t>
      </w:r>
      <w:r w:rsidR="00297F63">
        <w:t xml:space="preserve"> locations</w:t>
      </w:r>
      <w:r w:rsidRPr="00B60AD4">
        <w:t xml:space="preserve"> and</w:t>
      </w:r>
      <w:r w:rsidR="00297F63">
        <w:t>,</w:t>
      </w:r>
      <w:r w:rsidRPr="00B60AD4">
        <w:t xml:space="preserve"> where relevant</w:t>
      </w:r>
      <w:r w:rsidR="00297F63">
        <w:t>,</w:t>
      </w:r>
      <w:r w:rsidRPr="00B60AD4">
        <w:t xml:space="preserve"> which service provider is responsible for the care of the tenants or occupants and how the care is defined by the Care Inspectorate.</w:t>
      </w:r>
    </w:p>
    <w:p w:rsidR="00EB72B5" w:rsidRDefault="00EB72B5" w:rsidP="00B60AD4"/>
    <w:p w:rsidR="00EB72B5" w:rsidRDefault="00EB72B5" w:rsidP="00B60AD4"/>
    <w:p w:rsidR="00EB72B5" w:rsidRDefault="00EB72B5" w:rsidP="00B60AD4"/>
    <w:p w:rsidR="00EB72B5" w:rsidRDefault="00EB72B5" w:rsidP="00B60AD4"/>
    <w:p w:rsidR="00EB72B5" w:rsidRDefault="00EB72B5" w:rsidP="00B60AD4"/>
    <w:p w:rsidR="00EB72B5" w:rsidRDefault="00EB72B5" w:rsidP="00B60AD4"/>
    <w:p w:rsidR="001F356B" w:rsidRDefault="001F356B">
      <w:r>
        <w:br w:type="page"/>
      </w:r>
    </w:p>
    <w:p w:rsidR="00B60AD4" w:rsidRPr="00243BB6" w:rsidRDefault="00B60AD4"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lastRenderedPageBreak/>
        <w:t>Strategic Objectives</w:t>
      </w:r>
      <w:r w:rsidR="00EF6CD6">
        <w:rPr>
          <w:rFonts w:asciiTheme="minorHAnsi" w:hAnsiTheme="minorHAnsi" w:cstheme="minorHAnsi"/>
          <w:bCs w:val="0"/>
          <w:lang w:eastAsia="en-GB"/>
        </w:rPr>
        <w:t xml:space="preserve"> 2020</w:t>
      </w:r>
      <w:r w:rsidR="00401236" w:rsidRPr="00243BB6">
        <w:rPr>
          <w:rFonts w:asciiTheme="minorHAnsi" w:hAnsiTheme="minorHAnsi" w:cstheme="minorHAnsi"/>
          <w:bCs w:val="0"/>
          <w:lang w:eastAsia="en-GB"/>
        </w:rPr>
        <w:t xml:space="preserve"> -</w:t>
      </w:r>
      <w:r w:rsidR="001F356B">
        <w:rPr>
          <w:rFonts w:asciiTheme="minorHAnsi" w:hAnsiTheme="minorHAnsi" w:cstheme="minorHAnsi"/>
          <w:bCs w:val="0"/>
          <w:lang w:eastAsia="en-GB"/>
        </w:rPr>
        <w:t xml:space="preserve"> </w:t>
      </w:r>
      <w:r w:rsidR="00EF6CD6">
        <w:rPr>
          <w:rFonts w:asciiTheme="minorHAnsi" w:hAnsiTheme="minorHAnsi" w:cstheme="minorHAnsi"/>
          <w:bCs w:val="0"/>
          <w:lang w:eastAsia="en-GB"/>
        </w:rPr>
        <w:t>2022</w:t>
      </w:r>
      <w:r w:rsidR="001D39EB" w:rsidRPr="00243BB6">
        <w:rPr>
          <w:rFonts w:asciiTheme="minorHAnsi" w:hAnsiTheme="minorHAnsi" w:cstheme="minorHAnsi"/>
          <w:bCs w:val="0"/>
          <w:lang w:eastAsia="en-GB"/>
        </w:rPr>
        <w:t xml:space="preserve"> </w:t>
      </w:r>
    </w:p>
    <w:p w:rsidR="00B60AD4" w:rsidRPr="00B60AD4" w:rsidRDefault="00B60AD4" w:rsidP="001F356B">
      <w:pPr>
        <w:spacing w:after="120"/>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322"/>
        <w:gridCol w:w="3322"/>
      </w:tblGrid>
      <w:tr w:rsidR="00B60AD4" w:rsidRPr="00B60AD4" w:rsidTr="00910269">
        <w:trPr>
          <w:trHeight w:val="322"/>
        </w:trPr>
        <w:tc>
          <w:tcPr>
            <w:tcW w:w="3322" w:type="dxa"/>
            <w:tcBorders>
              <w:top w:val="single" w:sz="4" w:space="0" w:color="auto"/>
              <w:left w:val="single" w:sz="4" w:space="0" w:color="auto"/>
              <w:bottom w:val="single" w:sz="4" w:space="0" w:color="auto"/>
              <w:right w:val="single" w:sz="4" w:space="0" w:color="auto"/>
            </w:tcBorders>
            <w:hideMark/>
          </w:tcPr>
          <w:p w:rsidR="00B60AD4" w:rsidRPr="00B60AD4" w:rsidRDefault="00B60AD4" w:rsidP="00B60AD4">
            <w:pPr>
              <w:rPr>
                <w:b/>
              </w:rPr>
            </w:pPr>
            <w:r>
              <w:rPr>
                <w:b/>
              </w:rPr>
              <w:t>Objective</w:t>
            </w:r>
          </w:p>
        </w:tc>
        <w:tc>
          <w:tcPr>
            <w:tcW w:w="3322" w:type="dxa"/>
            <w:tcBorders>
              <w:top w:val="single" w:sz="4" w:space="0" w:color="auto"/>
              <w:left w:val="single" w:sz="4" w:space="0" w:color="auto"/>
              <w:bottom w:val="single" w:sz="4" w:space="0" w:color="auto"/>
              <w:right w:val="single" w:sz="4" w:space="0" w:color="auto"/>
            </w:tcBorders>
            <w:hideMark/>
          </w:tcPr>
          <w:p w:rsidR="00B60AD4" w:rsidRPr="00B60AD4" w:rsidRDefault="00161D3F" w:rsidP="00B60AD4">
            <w:pPr>
              <w:rPr>
                <w:b/>
              </w:rPr>
            </w:pPr>
            <w:r>
              <w:rPr>
                <w:b/>
              </w:rPr>
              <w:t>Action</w:t>
            </w:r>
          </w:p>
        </w:tc>
        <w:tc>
          <w:tcPr>
            <w:tcW w:w="3322" w:type="dxa"/>
            <w:tcBorders>
              <w:top w:val="single" w:sz="4" w:space="0" w:color="auto"/>
              <w:left w:val="single" w:sz="4" w:space="0" w:color="auto"/>
              <w:bottom w:val="single" w:sz="4" w:space="0" w:color="auto"/>
              <w:right w:val="single" w:sz="4" w:space="0" w:color="auto"/>
            </w:tcBorders>
            <w:hideMark/>
          </w:tcPr>
          <w:p w:rsidR="00B60AD4" w:rsidRPr="00B60AD4" w:rsidRDefault="00161D3F" w:rsidP="00B60AD4">
            <w:pPr>
              <w:rPr>
                <w:b/>
              </w:rPr>
            </w:pPr>
            <w:r>
              <w:rPr>
                <w:b/>
              </w:rPr>
              <w:t>Delivery</w:t>
            </w:r>
          </w:p>
        </w:tc>
      </w:tr>
      <w:tr w:rsidR="00B60AD4" w:rsidRPr="00B60AD4" w:rsidTr="00910269">
        <w:trPr>
          <w:trHeight w:val="695"/>
        </w:trPr>
        <w:tc>
          <w:tcPr>
            <w:tcW w:w="3322" w:type="dxa"/>
            <w:tcBorders>
              <w:top w:val="single" w:sz="4" w:space="0" w:color="auto"/>
              <w:left w:val="single" w:sz="4" w:space="0" w:color="auto"/>
              <w:bottom w:val="single" w:sz="4" w:space="0" w:color="auto"/>
              <w:right w:val="single" w:sz="4" w:space="0" w:color="auto"/>
            </w:tcBorders>
          </w:tcPr>
          <w:p w:rsidR="00B60AD4" w:rsidRPr="00B60AD4" w:rsidRDefault="008B20BF" w:rsidP="00B60AD4">
            <w:r>
              <w:t>CHT</w:t>
            </w:r>
            <w:r w:rsidR="00B60AD4" w:rsidRPr="00B60AD4">
              <w:t xml:space="preserve"> remains a financially viable organisation in order to meet its other strategic objectives as set out below.</w:t>
            </w:r>
          </w:p>
          <w:p w:rsidR="00B60AD4" w:rsidRPr="00B60AD4" w:rsidRDefault="00B60AD4" w:rsidP="00B60AD4"/>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tcPr>
          <w:p w:rsidR="00ED6326" w:rsidRPr="00B60AD4" w:rsidRDefault="00DC2AD0" w:rsidP="00B60AD4">
            <w:r>
              <w:t>New rent points policy in place since April</w:t>
            </w:r>
            <w:r w:rsidR="005530A8">
              <w:t xml:space="preserve"> 2019</w:t>
            </w:r>
            <w:r>
              <w:t xml:space="preserve"> </w:t>
            </w:r>
            <w:r w:rsidR="00161D3F">
              <w:t xml:space="preserve">delivers income that is at a level that maintains financial viability whilst remaining affordable for residents.  </w:t>
            </w:r>
          </w:p>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tcPr>
          <w:p w:rsidR="00932C7C" w:rsidRDefault="00135BD1" w:rsidP="00932C7C">
            <w:r>
              <w:t>Appropriate re</w:t>
            </w:r>
            <w:r w:rsidR="00EA3E29">
              <w:t>nt and service charge setting</w:t>
            </w:r>
            <w:r w:rsidR="00752773">
              <w:t xml:space="preserve"> with clear rent pointing process</w:t>
            </w:r>
            <w:r w:rsidR="00EA3E29">
              <w:t>.</w:t>
            </w:r>
            <w:r w:rsidR="00932C7C">
              <w:t xml:space="preserve"> To ensure the </w:t>
            </w:r>
            <w:r w:rsidR="00D84145">
              <w:t>rents clearly</w:t>
            </w:r>
            <w:r w:rsidR="00932C7C">
              <w:t xml:space="preserve"> define the components of the individual propertie</w:t>
            </w:r>
            <w:r w:rsidR="005530A8">
              <w:t xml:space="preserve">s, </w:t>
            </w:r>
            <w:r w:rsidR="00D84145">
              <w:t>and within</w:t>
            </w:r>
            <w:r w:rsidR="00932C7C">
              <w:t xml:space="preserve"> this the legal requirements that we </w:t>
            </w:r>
            <w:proofErr w:type="gramStart"/>
            <w:r w:rsidR="00932C7C">
              <w:t>have to</w:t>
            </w:r>
            <w:proofErr w:type="gramEnd"/>
            <w:r w:rsidR="00932C7C">
              <w:t xml:space="preserve"> meet</w:t>
            </w:r>
            <w:r w:rsidR="00AA59EE">
              <w:t>.</w:t>
            </w:r>
          </w:p>
          <w:p w:rsidR="00243B65" w:rsidRDefault="00EA3E29" w:rsidP="00B60AD4">
            <w:r>
              <w:t xml:space="preserve"> Priced </w:t>
            </w:r>
            <w:r w:rsidR="00135BD1">
              <w:t xml:space="preserve">and budgeted programmes for property maintenance. </w:t>
            </w:r>
          </w:p>
          <w:p w:rsidR="00AF651A" w:rsidRDefault="00AF651A" w:rsidP="00B60AD4">
            <w:r>
              <w:t>Annual Budget Approved by the Board</w:t>
            </w:r>
          </w:p>
          <w:p w:rsidR="00B60AD4" w:rsidRDefault="00135BD1" w:rsidP="00B60AD4">
            <w:r>
              <w:t xml:space="preserve">External audit of </w:t>
            </w:r>
            <w:r w:rsidR="008B20BF">
              <w:t>CHT</w:t>
            </w:r>
            <w:r>
              <w:t xml:space="preserve"> </w:t>
            </w:r>
            <w:r w:rsidR="00AF651A">
              <w:t>annual accounts</w:t>
            </w:r>
            <w:r>
              <w:t>.</w:t>
            </w:r>
          </w:p>
          <w:p w:rsidR="0064244D" w:rsidRPr="00B60AD4" w:rsidRDefault="0064244D" w:rsidP="00B60AD4">
            <w:r>
              <w:t>Compliance with the Office of the Scottish Charity Regulator</w:t>
            </w:r>
            <w:r w:rsidR="00DA2EBA">
              <w:t xml:space="preserve">’s </w:t>
            </w:r>
            <w:r>
              <w:t>accounting regulations.</w:t>
            </w:r>
          </w:p>
          <w:p w:rsidR="00B60AD4" w:rsidRPr="00B60AD4" w:rsidRDefault="00B60AD4" w:rsidP="00B60AD4"/>
        </w:tc>
      </w:tr>
      <w:tr w:rsidR="00EE1677" w:rsidRPr="00B60AD4" w:rsidTr="00910269">
        <w:trPr>
          <w:trHeight w:val="1550"/>
        </w:trPr>
        <w:tc>
          <w:tcPr>
            <w:tcW w:w="3322" w:type="dxa"/>
            <w:tcBorders>
              <w:top w:val="single" w:sz="4" w:space="0" w:color="auto"/>
              <w:left w:val="single" w:sz="4" w:space="0" w:color="auto"/>
              <w:bottom w:val="single" w:sz="4" w:space="0" w:color="auto"/>
              <w:right w:val="single" w:sz="4" w:space="0" w:color="auto"/>
            </w:tcBorders>
          </w:tcPr>
          <w:p w:rsidR="00EE1677" w:rsidRDefault="00EE1677" w:rsidP="00EE1677">
            <w:r w:rsidRPr="00B60AD4">
              <w:t xml:space="preserve">Work in partnership with local authorities and other organisations that share the same aims </w:t>
            </w:r>
            <w:r w:rsidR="008B20BF">
              <w:t>as CHT</w:t>
            </w:r>
            <w:r w:rsidRPr="00B60AD4">
              <w:t xml:space="preserve"> to contribute to the housing of people with </w:t>
            </w:r>
            <w:proofErr w:type="gramStart"/>
            <w:r w:rsidRPr="00B60AD4">
              <w:t>particular needs</w:t>
            </w:r>
            <w:proofErr w:type="gramEnd"/>
            <w:r w:rsidRPr="00B60AD4">
              <w:t>.</w:t>
            </w:r>
          </w:p>
          <w:p w:rsidR="00EE1677" w:rsidRPr="00B60AD4" w:rsidRDefault="00EE1677" w:rsidP="00B60AD4"/>
        </w:tc>
        <w:tc>
          <w:tcPr>
            <w:tcW w:w="3322" w:type="dxa"/>
            <w:tcBorders>
              <w:top w:val="single" w:sz="4" w:space="0" w:color="auto"/>
              <w:left w:val="single" w:sz="4" w:space="0" w:color="auto"/>
              <w:bottom w:val="single" w:sz="4" w:space="0" w:color="auto"/>
              <w:right w:val="single" w:sz="4" w:space="0" w:color="auto"/>
            </w:tcBorders>
          </w:tcPr>
          <w:p w:rsidR="00EE1677" w:rsidRDefault="00A41878" w:rsidP="00EE1677">
            <w:r>
              <w:t>CHT</w:t>
            </w:r>
            <w:r w:rsidR="00EE1677" w:rsidRPr="00B60AD4">
              <w:t xml:space="preserve"> </w:t>
            </w:r>
            <w:r w:rsidR="00EE1677">
              <w:t>enhances</w:t>
            </w:r>
            <w:r w:rsidR="00EE1677" w:rsidRPr="00B60AD4">
              <w:t xml:space="preserve"> its profile as an organisation that ‘champions’ the provision of housing for people with particular needs.</w:t>
            </w:r>
          </w:p>
          <w:p w:rsidR="00EE1677" w:rsidRPr="00B60AD4" w:rsidRDefault="00EE1677" w:rsidP="00B60AD4"/>
        </w:tc>
        <w:tc>
          <w:tcPr>
            <w:tcW w:w="3322" w:type="dxa"/>
            <w:tcBorders>
              <w:top w:val="single" w:sz="4" w:space="0" w:color="auto"/>
              <w:left w:val="single" w:sz="4" w:space="0" w:color="auto"/>
              <w:bottom w:val="single" w:sz="4" w:space="0" w:color="auto"/>
              <w:right w:val="single" w:sz="4" w:space="0" w:color="auto"/>
            </w:tcBorders>
          </w:tcPr>
          <w:p w:rsidR="00EE1677" w:rsidRPr="00B60AD4" w:rsidRDefault="00EE1677" w:rsidP="00B60AD4">
            <w:r w:rsidRPr="00B60AD4">
              <w:t xml:space="preserve">Attend strategic meetings that will allow </w:t>
            </w:r>
            <w:r w:rsidR="008B20BF">
              <w:t>CHT</w:t>
            </w:r>
            <w:r w:rsidRPr="00B60AD4">
              <w:t xml:space="preserve"> to contribute to st</w:t>
            </w:r>
            <w:r>
              <w:t xml:space="preserve">rategies such as local housing </w:t>
            </w:r>
            <w:r w:rsidRPr="00B60AD4">
              <w:t xml:space="preserve">and community care </w:t>
            </w:r>
            <w:proofErr w:type="gramStart"/>
            <w:r w:rsidRPr="00B60AD4">
              <w:t>strategies</w:t>
            </w:r>
            <w:r>
              <w:t>,</w:t>
            </w:r>
            <w:r w:rsidRPr="00B60AD4">
              <w:t xml:space="preserve"> and</w:t>
            </w:r>
            <w:proofErr w:type="gramEnd"/>
            <w:r w:rsidRPr="00B60AD4">
              <w:t xml:space="preserve"> identify client groups that would benefit from housing that meets their specific needs. </w:t>
            </w:r>
          </w:p>
        </w:tc>
      </w:tr>
      <w:tr w:rsidR="00B60AD4" w:rsidRPr="00B60AD4" w:rsidTr="00910269">
        <w:trPr>
          <w:trHeight w:val="1550"/>
        </w:trPr>
        <w:tc>
          <w:tcPr>
            <w:tcW w:w="3322" w:type="dxa"/>
            <w:tcBorders>
              <w:top w:val="single" w:sz="4" w:space="0" w:color="auto"/>
              <w:left w:val="single" w:sz="4" w:space="0" w:color="auto"/>
              <w:bottom w:val="single" w:sz="4" w:space="0" w:color="auto"/>
              <w:right w:val="single" w:sz="4" w:space="0" w:color="auto"/>
            </w:tcBorders>
          </w:tcPr>
          <w:p w:rsidR="00B60AD4" w:rsidRPr="00B60AD4" w:rsidRDefault="00315A53" w:rsidP="00EB72B5">
            <w:r>
              <w:t xml:space="preserve">Raise the profile </w:t>
            </w:r>
            <w:proofErr w:type="gramStart"/>
            <w:r>
              <w:t xml:space="preserve">of </w:t>
            </w:r>
            <w:r w:rsidR="00EB72B5">
              <w:t xml:space="preserve"> </w:t>
            </w:r>
            <w:r w:rsidR="008B20BF">
              <w:t>CHT</w:t>
            </w:r>
            <w:proofErr w:type="gramEnd"/>
            <w:r w:rsidR="00D84145">
              <w:t xml:space="preserve"> in</w:t>
            </w:r>
            <w:r>
              <w:t xml:space="preserve"> the wider community</w:t>
            </w:r>
            <w:r w:rsidR="00EB72B5">
              <w:t xml:space="preserve"> </w:t>
            </w:r>
            <w:r w:rsidR="008B20BF">
              <w:t xml:space="preserve">which commenced in May 2019 with a rebrand event promoting our new name and ethos and aims. </w:t>
            </w:r>
          </w:p>
        </w:tc>
        <w:tc>
          <w:tcPr>
            <w:tcW w:w="3322" w:type="dxa"/>
            <w:tcBorders>
              <w:top w:val="single" w:sz="4" w:space="0" w:color="auto"/>
              <w:left w:val="single" w:sz="4" w:space="0" w:color="auto"/>
              <w:bottom w:val="single" w:sz="4" w:space="0" w:color="auto"/>
              <w:right w:val="single" w:sz="4" w:space="0" w:color="auto"/>
            </w:tcBorders>
          </w:tcPr>
          <w:p w:rsidR="00315A53" w:rsidRPr="00B60AD4" w:rsidRDefault="005530A8" w:rsidP="00152349">
            <w:r>
              <w:t>CHT</w:t>
            </w:r>
            <w:r w:rsidR="00315A53">
              <w:t xml:space="preserve"> enhances its distinct identity and its link to Castlehill HA.</w:t>
            </w:r>
          </w:p>
        </w:tc>
        <w:tc>
          <w:tcPr>
            <w:tcW w:w="3322" w:type="dxa"/>
            <w:tcBorders>
              <w:top w:val="single" w:sz="4" w:space="0" w:color="auto"/>
              <w:left w:val="single" w:sz="4" w:space="0" w:color="auto"/>
              <w:bottom w:val="single" w:sz="4" w:space="0" w:color="auto"/>
              <w:right w:val="single" w:sz="4" w:space="0" w:color="auto"/>
            </w:tcBorders>
          </w:tcPr>
          <w:p w:rsidR="004B418C" w:rsidRDefault="00315A53" w:rsidP="00315A53">
            <w:r>
              <w:t>Publicity around</w:t>
            </w:r>
            <w:r w:rsidR="008B20BF">
              <w:t xml:space="preserve"> CHT</w:t>
            </w:r>
            <w:r>
              <w:t xml:space="preserve"> events</w:t>
            </w:r>
            <w:r w:rsidR="00ED6326">
              <w:t xml:space="preserve"> and </w:t>
            </w:r>
            <w:r w:rsidR="00297F63">
              <w:t>i</w:t>
            </w:r>
            <w:r>
              <w:t>ncrease</w:t>
            </w:r>
            <w:r w:rsidR="00ED6326">
              <w:t>d</w:t>
            </w:r>
            <w:r>
              <w:t xml:space="preserve"> contact with residents and their </w:t>
            </w:r>
            <w:r w:rsidR="008B20BF">
              <w:t>guardians</w:t>
            </w:r>
            <w:r>
              <w:t xml:space="preserve">. </w:t>
            </w:r>
          </w:p>
          <w:p w:rsidR="00315A53" w:rsidRPr="00B60AD4" w:rsidRDefault="00315A53" w:rsidP="00315A53"/>
        </w:tc>
      </w:tr>
    </w:tbl>
    <w:p w:rsidR="001F356B" w:rsidRDefault="001F356B">
      <w:r>
        <w:br w:type="page"/>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322"/>
        <w:gridCol w:w="3322"/>
      </w:tblGrid>
      <w:tr w:rsidR="001F356B" w:rsidRPr="00B60AD4" w:rsidTr="0020558E">
        <w:trPr>
          <w:trHeight w:val="322"/>
        </w:trPr>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1F356B" w:rsidP="0020558E">
            <w:pPr>
              <w:rPr>
                <w:b/>
              </w:rPr>
            </w:pPr>
            <w:r>
              <w:rPr>
                <w:b/>
              </w:rPr>
              <w:lastRenderedPageBreak/>
              <w:t>Objective</w:t>
            </w:r>
          </w:p>
        </w:tc>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1F356B" w:rsidP="0020558E">
            <w:pPr>
              <w:rPr>
                <w:b/>
              </w:rPr>
            </w:pPr>
            <w:r w:rsidRPr="00B60AD4">
              <w:rPr>
                <w:b/>
              </w:rPr>
              <w:t>Target</w:t>
            </w:r>
          </w:p>
        </w:tc>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AF651A" w:rsidP="0020558E">
            <w:pPr>
              <w:rPr>
                <w:b/>
              </w:rPr>
            </w:pPr>
            <w:r>
              <w:rPr>
                <w:b/>
              </w:rPr>
              <w:t>Delivery</w:t>
            </w:r>
          </w:p>
        </w:tc>
      </w:tr>
      <w:tr w:rsidR="00B60AD4" w:rsidRPr="00B60AD4" w:rsidTr="00910269">
        <w:trPr>
          <w:trHeight w:val="1990"/>
        </w:trPr>
        <w:tc>
          <w:tcPr>
            <w:tcW w:w="3322" w:type="dxa"/>
            <w:tcBorders>
              <w:top w:val="single" w:sz="4" w:space="0" w:color="auto"/>
              <w:left w:val="single" w:sz="4" w:space="0" w:color="auto"/>
              <w:bottom w:val="single" w:sz="4" w:space="0" w:color="auto"/>
              <w:right w:val="single" w:sz="4" w:space="0" w:color="auto"/>
            </w:tcBorders>
          </w:tcPr>
          <w:p w:rsidR="00B60AD4" w:rsidRPr="00B60AD4" w:rsidRDefault="00B60AD4" w:rsidP="00B60AD4">
            <w:r w:rsidRPr="00B60AD4">
              <w:t xml:space="preserve">Identify funding to provide </w:t>
            </w:r>
            <w:r w:rsidR="008B20BF">
              <w:t xml:space="preserve">a </w:t>
            </w:r>
            <w:r w:rsidRPr="00B60AD4">
              <w:t xml:space="preserve">development programme to house people with </w:t>
            </w:r>
            <w:proofErr w:type="gramStart"/>
            <w:r w:rsidRPr="00B60AD4">
              <w:t>particular needs</w:t>
            </w:r>
            <w:proofErr w:type="gramEnd"/>
            <w:r w:rsidRPr="00B60AD4">
              <w:t>.</w:t>
            </w:r>
          </w:p>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hideMark/>
          </w:tcPr>
          <w:p w:rsidR="00B60AD4" w:rsidRPr="00B60AD4" w:rsidRDefault="008B20BF" w:rsidP="00D84145">
            <w:r>
              <w:t xml:space="preserve">CHT will lease 5 properties from Castlehill Housing Association in Aberdeenshire </w:t>
            </w:r>
            <w:r w:rsidR="00A41878">
              <w:t>in May 2020 to meet the increasing demand in Aberdeenshire to house adults with learning disabilities in individual tenancies.</w:t>
            </w:r>
          </w:p>
        </w:tc>
        <w:tc>
          <w:tcPr>
            <w:tcW w:w="3322" w:type="dxa"/>
            <w:tcBorders>
              <w:top w:val="single" w:sz="4" w:space="0" w:color="auto"/>
              <w:left w:val="single" w:sz="4" w:space="0" w:color="auto"/>
              <w:bottom w:val="single" w:sz="4" w:space="0" w:color="auto"/>
              <w:right w:val="single" w:sz="4" w:space="0" w:color="auto"/>
            </w:tcBorders>
          </w:tcPr>
          <w:p w:rsidR="00B60AD4" w:rsidRPr="00B60AD4" w:rsidRDefault="00B60AD4" w:rsidP="00B60AD4">
            <w:r w:rsidRPr="00B60AD4">
              <w:t xml:space="preserve">Access funding through working in partnership with organisations with a similar vision </w:t>
            </w:r>
            <w:r w:rsidR="008B20BF">
              <w:t xml:space="preserve">to CHT. </w:t>
            </w:r>
          </w:p>
          <w:p w:rsidR="00B60AD4" w:rsidRPr="00B60AD4" w:rsidRDefault="00B60AD4" w:rsidP="00317666"/>
        </w:tc>
      </w:tr>
      <w:tr w:rsidR="00317666" w:rsidRPr="00B60AD4" w:rsidTr="00910269">
        <w:trPr>
          <w:trHeight w:val="1990"/>
        </w:trPr>
        <w:tc>
          <w:tcPr>
            <w:tcW w:w="3322" w:type="dxa"/>
            <w:tcBorders>
              <w:top w:val="single" w:sz="4" w:space="0" w:color="auto"/>
              <w:left w:val="single" w:sz="4" w:space="0" w:color="auto"/>
              <w:bottom w:val="single" w:sz="4" w:space="0" w:color="auto"/>
              <w:right w:val="single" w:sz="4" w:space="0" w:color="auto"/>
            </w:tcBorders>
          </w:tcPr>
          <w:p w:rsidR="00317666" w:rsidRPr="00B60AD4" w:rsidRDefault="00A41878" w:rsidP="00B60AD4">
            <w:r>
              <w:t>CHT</w:t>
            </w:r>
            <w:r w:rsidR="00317666">
              <w:t xml:space="preserve"> play</w:t>
            </w:r>
            <w:r>
              <w:t>s</w:t>
            </w:r>
            <w:r w:rsidR="00317666">
              <w:t xml:space="preserve"> an active role in supporting the Health and Social Care </w:t>
            </w:r>
            <w:r w:rsidR="00ED6326">
              <w:t xml:space="preserve">(Scotland) </w:t>
            </w:r>
            <w:r w:rsidR="00317666">
              <w:t>Agenda and its partnership organisations.</w:t>
            </w:r>
          </w:p>
        </w:tc>
        <w:tc>
          <w:tcPr>
            <w:tcW w:w="3322" w:type="dxa"/>
            <w:tcBorders>
              <w:top w:val="single" w:sz="4" w:space="0" w:color="auto"/>
              <w:left w:val="single" w:sz="4" w:space="0" w:color="auto"/>
              <w:bottom w:val="single" w:sz="4" w:space="0" w:color="auto"/>
              <w:right w:val="single" w:sz="4" w:space="0" w:color="auto"/>
            </w:tcBorders>
          </w:tcPr>
          <w:p w:rsidR="00317666" w:rsidRPr="00B60AD4" w:rsidRDefault="008B20BF" w:rsidP="001D39EB">
            <w:r>
              <w:t xml:space="preserve">CHT </w:t>
            </w:r>
            <w:r w:rsidR="00317666">
              <w:t xml:space="preserve">will </w:t>
            </w:r>
            <w:proofErr w:type="gramStart"/>
            <w:r w:rsidR="00317666">
              <w:t>be seen as</w:t>
            </w:r>
            <w:proofErr w:type="gramEnd"/>
            <w:r w:rsidR="00317666">
              <w:t xml:space="preserve"> an important contributor of housing solutions for people with specific needs</w:t>
            </w:r>
          </w:p>
        </w:tc>
        <w:tc>
          <w:tcPr>
            <w:tcW w:w="3322" w:type="dxa"/>
            <w:tcBorders>
              <w:top w:val="single" w:sz="4" w:space="0" w:color="auto"/>
              <w:left w:val="single" w:sz="4" w:space="0" w:color="auto"/>
              <w:bottom w:val="single" w:sz="4" w:space="0" w:color="auto"/>
              <w:right w:val="single" w:sz="4" w:space="0" w:color="auto"/>
            </w:tcBorders>
          </w:tcPr>
          <w:p w:rsidR="00317666" w:rsidRPr="00B60AD4" w:rsidRDefault="00317666" w:rsidP="00B60AD4">
            <w:r>
              <w:t>Input to Health and Social Care Strat</w:t>
            </w:r>
            <w:r w:rsidR="00AA59EE">
              <w:t xml:space="preserve">egic Plan. </w:t>
            </w:r>
            <w:r>
              <w:t xml:space="preserve">Close working with local authority and health staff. </w:t>
            </w:r>
          </w:p>
        </w:tc>
      </w:tr>
      <w:tr w:rsidR="00B60AD4" w:rsidRPr="00B60AD4" w:rsidTr="00910269">
        <w:tc>
          <w:tcPr>
            <w:tcW w:w="3322" w:type="dxa"/>
            <w:tcBorders>
              <w:top w:val="single" w:sz="4" w:space="0" w:color="auto"/>
              <w:left w:val="single" w:sz="4" w:space="0" w:color="auto"/>
              <w:bottom w:val="single" w:sz="4" w:space="0" w:color="auto"/>
              <w:right w:val="single" w:sz="4" w:space="0" w:color="auto"/>
            </w:tcBorders>
            <w:hideMark/>
          </w:tcPr>
          <w:p w:rsidR="00B60AD4" w:rsidRPr="00B60AD4" w:rsidRDefault="00B60AD4" w:rsidP="00B60AD4">
            <w:r w:rsidRPr="008A19B6">
              <w:t xml:space="preserve">Ensure </w:t>
            </w:r>
            <w:r w:rsidR="00EE1677">
              <w:t xml:space="preserve">that </w:t>
            </w:r>
            <w:r w:rsidRPr="008A19B6">
              <w:t>the Trust’s properties comply with Health and Safety legislation.</w:t>
            </w:r>
          </w:p>
        </w:tc>
        <w:tc>
          <w:tcPr>
            <w:tcW w:w="3322" w:type="dxa"/>
            <w:tcBorders>
              <w:top w:val="single" w:sz="4" w:space="0" w:color="auto"/>
              <w:left w:val="single" w:sz="4" w:space="0" w:color="auto"/>
              <w:bottom w:val="single" w:sz="4" w:space="0" w:color="auto"/>
              <w:right w:val="single" w:sz="4" w:space="0" w:color="auto"/>
            </w:tcBorders>
          </w:tcPr>
          <w:p w:rsidR="00B60AD4" w:rsidRPr="00B60AD4" w:rsidRDefault="00B60AD4" w:rsidP="00B60AD4">
            <w:r w:rsidRPr="00B60AD4">
              <w:t xml:space="preserve">All properties have fire safety measures that comply with </w:t>
            </w:r>
            <w:r w:rsidR="00135BD1">
              <w:t xml:space="preserve">all current relevant </w:t>
            </w:r>
            <w:r w:rsidRPr="00B60AD4">
              <w:t>legislation</w:t>
            </w:r>
            <w:r w:rsidR="00135BD1">
              <w:t>.</w:t>
            </w:r>
            <w:r w:rsidRPr="00B60AD4">
              <w:t xml:space="preserve"> </w:t>
            </w:r>
          </w:p>
          <w:p w:rsidR="00B60AD4" w:rsidRPr="00B60AD4" w:rsidRDefault="00B60AD4" w:rsidP="00B60AD4"/>
          <w:p w:rsidR="00B60AD4" w:rsidRPr="00B60AD4" w:rsidRDefault="00B60AD4" w:rsidP="00B60AD4">
            <w:r w:rsidRPr="00B60AD4">
              <w:t>All Houses in Multiple Occupation maintain their licenses.</w:t>
            </w:r>
            <w:r w:rsidR="00ED6326">
              <w:t xml:space="preserve"> </w:t>
            </w:r>
          </w:p>
          <w:p w:rsidR="002D7F2D" w:rsidRDefault="002D7F2D" w:rsidP="00B60AD4"/>
          <w:p w:rsidR="002D7F2D" w:rsidRPr="00B60AD4" w:rsidRDefault="002D7F2D" w:rsidP="00B60AD4"/>
          <w:p w:rsidR="00932C7C" w:rsidRDefault="00932C7C" w:rsidP="00B60AD4"/>
          <w:p w:rsidR="00932C7C" w:rsidRDefault="00932C7C" w:rsidP="00B60AD4"/>
          <w:p w:rsidR="00932C7C" w:rsidRDefault="00932C7C" w:rsidP="00B60AD4"/>
          <w:p w:rsidR="00B60AD4" w:rsidRPr="00B60AD4" w:rsidRDefault="00B60AD4" w:rsidP="00B60AD4">
            <w:r w:rsidRPr="00B60AD4">
              <w:t>Each year 20% of the Trust’s properties</w:t>
            </w:r>
            <w:r w:rsidR="00315A53">
              <w:t>, on a rolling programme,</w:t>
            </w:r>
            <w:r w:rsidRPr="00B60AD4">
              <w:t xml:space="preserve"> pass the Electrical Installation Condition inspections. </w:t>
            </w:r>
          </w:p>
          <w:p w:rsidR="00B60AD4" w:rsidRPr="00B60AD4" w:rsidRDefault="00B60AD4" w:rsidP="00B60AD4"/>
          <w:p w:rsidR="00B60AD4" w:rsidRDefault="008A19B6" w:rsidP="00B60AD4">
            <w:r>
              <w:t>Ensure that all Trust properties remain compliant with legislative requirements regarding legionella</w:t>
            </w:r>
          </w:p>
          <w:p w:rsidR="00A61295" w:rsidRDefault="00A61295" w:rsidP="00B60AD4"/>
          <w:p w:rsidR="00A61295" w:rsidRPr="00B60AD4" w:rsidRDefault="00A61295" w:rsidP="00B60AD4"/>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tcPr>
          <w:p w:rsidR="00B60AD4" w:rsidRPr="00B60AD4" w:rsidRDefault="00B60AD4" w:rsidP="00B60AD4">
            <w:r w:rsidRPr="00B60AD4">
              <w:lastRenderedPageBreak/>
              <w:t>Continue to carry out fire risk assessments and review on an annual basis or when required.</w:t>
            </w:r>
          </w:p>
          <w:p w:rsidR="00B60AD4" w:rsidRPr="00B60AD4" w:rsidRDefault="00B60AD4" w:rsidP="00B60AD4"/>
          <w:p w:rsidR="00B60AD4" w:rsidRPr="00B60AD4" w:rsidRDefault="00B60AD4" w:rsidP="00B60AD4">
            <w:r w:rsidRPr="00B60AD4">
              <w:t>Liaise with the local authorities to ensure the Trust is up to date with the latest Houses in Multiple Occupation legislation.</w:t>
            </w:r>
            <w:r w:rsidR="00932C7C">
              <w:t xml:space="preserve">  Annual PAT </w:t>
            </w:r>
            <w:proofErr w:type="gramStart"/>
            <w:r w:rsidR="00932C7C">
              <w:t>testing  and</w:t>
            </w:r>
            <w:proofErr w:type="gramEnd"/>
            <w:r w:rsidR="00932C7C">
              <w:t xml:space="preserve"> boiler servicing and regular PEI’s and legionella testing </w:t>
            </w:r>
            <w:r w:rsidR="00AA59EE">
              <w:t>(</w:t>
            </w:r>
            <w:r w:rsidR="00932C7C">
              <w:t>where applicable</w:t>
            </w:r>
            <w:r w:rsidR="00AA59EE">
              <w:t>)</w:t>
            </w:r>
            <w:r w:rsidR="00932C7C">
              <w:t xml:space="preserve"> are carried out regularly to ensure compliance</w:t>
            </w:r>
            <w:r w:rsidR="00243B65">
              <w:t>.</w:t>
            </w:r>
          </w:p>
          <w:p w:rsidR="00BF4630" w:rsidRDefault="00BF4630" w:rsidP="00B60AD4"/>
          <w:p w:rsidR="00B60AD4" w:rsidRPr="00B60AD4" w:rsidRDefault="00B60AD4" w:rsidP="00B60AD4">
            <w:r w:rsidRPr="00B60AD4">
              <w:t xml:space="preserve">There is an annual programme of </w:t>
            </w:r>
            <w:r w:rsidR="00932C7C">
              <w:t xml:space="preserve">property and </w:t>
            </w:r>
            <w:proofErr w:type="gramStart"/>
            <w:r w:rsidR="00932C7C">
              <w:t xml:space="preserve">void </w:t>
            </w:r>
            <w:r w:rsidRPr="00B60AD4">
              <w:t xml:space="preserve"> inspecti</w:t>
            </w:r>
            <w:r w:rsidR="00932C7C">
              <w:t>ons</w:t>
            </w:r>
            <w:proofErr w:type="gramEnd"/>
            <w:r w:rsidR="00243B65">
              <w:t>.</w:t>
            </w:r>
            <w:r w:rsidR="00932C7C">
              <w:t xml:space="preserve"> </w:t>
            </w:r>
          </w:p>
          <w:p w:rsidR="00B60AD4" w:rsidRPr="00B60AD4" w:rsidRDefault="00B60AD4" w:rsidP="00B60AD4"/>
          <w:p w:rsidR="00BF4630" w:rsidRPr="00B60AD4" w:rsidRDefault="00BF4630" w:rsidP="00B60AD4"/>
          <w:p w:rsidR="008A19B6" w:rsidRPr="00B60AD4" w:rsidRDefault="00932C7C" w:rsidP="00B60AD4">
            <w:r>
              <w:t>P</w:t>
            </w:r>
            <w:r w:rsidR="008A19B6">
              <w:t>rogrammed testing, inspection and reporting</w:t>
            </w:r>
            <w:r w:rsidR="00243B65">
              <w:t>.</w:t>
            </w:r>
          </w:p>
          <w:p w:rsidR="00B60AD4" w:rsidRDefault="00B60AD4" w:rsidP="00B60AD4"/>
          <w:p w:rsidR="005530A8" w:rsidRPr="00B60AD4" w:rsidRDefault="005530A8" w:rsidP="00B60AD4">
            <w:r>
              <w:rPr>
                <w:rFonts w:ascii="Arial" w:hAnsi="Arial" w:cs="Arial"/>
                <w:sz w:val="20"/>
                <w:szCs w:val="20"/>
              </w:rPr>
              <w:t xml:space="preserve">The Energy Efficiency (Private Rented Property) (Scotland) </w:t>
            </w:r>
            <w:r>
              <w:rPr>
                <w:rFonts w:ascii="Arial" w:hAnsi="Arial" w:cs="Arial"/>
                <w:sz w:val="20"/>
                <w:szCs w:val="20"/>
              </w:rPr>
              <w:lastRenderedPageBreak/>
              <w:t>Regulations 2019 will start to be phased in from 1</w:t>
            </w:r>
            <w:r>
              <w:rPr>
                <w:rFonts w:ascii="Arial" w:hAnsi="Arial" w:cs="Arial"/>
                <w:sz w:val="20"/>
                <w:szCs w:val="20"/>
                <w:vertAlign w:val="superscript"/>
              </w:rPr>
              <w:t>st</w:t>
            </w:r>
            <w:r w:rsidR="00571A89">
              <w:rPr>
                <w:rFonts w:ascii="Arial" w:hAnsi="Arial" w:cs="Arial"/>
                <w:sz w:val="20"/>
                <w:szCs w:val="20"/>
              </w:rPr>
              <w:t xml:space="preserve"> April 2020.  By April 2025</w:t>
            </w:r>
            <w:r w:rsidR="00AF651A">
              <w:rPr>
                <w:rFonts w:ascii="Arial" w:hAnsi="Arial" w:cs="Arial"/>
                <w:sz w:val="20"/>
                <w:szCs w:val="20"/>
              </w:rPr>
              <w:t xml:space="preserve"> all CHT properties will meet</w:t>
            </w:r>
            <w:r>
              <w:rPr>
                <w:rFonts w:ascii="Arial" w:hAnsi="Arial" w:cs="Arial"/>
                <w:sz w:val="20"/>
                <w:szCs w:val="20"/>
              </w:rPr>
              <w:t> </w:t>
            </w:r>
            <w:r w:rsidR="00571A89">
              <w:rPr>
                <w:rFonts w:ascii="Arial" w:hAnsi="Arial" w:cs="Arial"/>
                <w:sz w:val="20"/>
                <w:szCs w:val="20"/>
              </w:rPr>
              <w:t xml:space="preserve">standard D or above unless this is not </w:t>
            </w:r>
            <w:proofErr w:type="gramStart"/>
            <w:r w:rsidR="00571A89">
              <w:rPr>
                <w:rFonts w:ascii="Arial" w:hAnsi="Arial" w:cs="Arial"/>
                <w:sz w:val="20"/>
                <w:szCs w:val="20"/>
              </w:rPr>
              <w:t>feasible</w:t>
            </w:r>
            <w:proofErr w:type="gramEnd"/>
            <w:r w:rsidR="00571A89">
              <w:rPr>
                <w:rFonts w:ascii="Arial" w:hAnsi="Arial" w:cs="Arial"/>
                <w:sz w:val="20"/>
                <w:szCs w:val="20"/>
              </w:rPr>
              <w:t xml:space="preserve"> or costs are over £5000 to enable this to happen. </w:t>
            </w:r>
          </w:p>
        </w:tc>
      </w:tr>
      <w:tr w:rsidR="001F356B" w:rsidRPr="00B60AD4" w:rsidTr="0020558E">
        <w:trPr>
          <w:trHeight w:val="322"/>
        </w:trPr>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1F356B" w:rsidP="0020558E">
            <w:pPr>
              <w:rPr>
                <w:b/>
              </w:rPr>
            </w:pPr>
            <w:r>
              <w:lastRenderedPageBreak/>
              <w:br w:type="page"/>
            </w:r>
            <w:r>
              <w:rPr>
                <w:b/>
              </w:rPr>
              <w:t>Objective</w:t>
            </w:r>
          </w:p>
        </w:tc>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1F356B" w:rsidP="0020558E">
            <w:pPr>
              <w:rPr>
                <w:b/>
              </w:rPr>
            </w:pPr>
            <w:r w:rsidRPr="00B60AD4">
              <w:rPr>
                <w:b/>
              </w:rPr>
              <w:t>Target</w:t>
            </w:r>
          </w:p>
        </w:tc>
        <w:tc>
          <w:tcPr>
            <w:tcW w:w="3322" w:type="dxa"/>
            <w:tcBorders>
              <w:top w:val="single" w:sz="4" w:space="0" w:color="auto"/>
              <w:left w:val="single" w:sz="4" w:space="0" w:color="auto"/>
              <w:bottom w:val="single" w:sz="4" w:space="0" w:color="auto"/>
              <w:right w:val="single" w:sz="4" w:space="0" w:color="auto"/>
            </w:tcBorders>
            <w:hideMark/>
          </w:tcPr>
          <w:p w:rsidR="001F356B" w:rsidRPr="00B60AD4" w:rsidRDefault="00E43ED8" w:rsidP="0020558E">
            <w:pPr>
              <w:rPr>
                <w:b/>
              </w:rPr>
            </w:pPr>
            <w:r>
              <w:rPr>
                <w:b/>
              </w:rPr>
              <w:t>Delivery</w:t>
            </w:r>
          </w:p>
        </w:tc>
      </w:tr>
      <w:tr w:rsidR="00B60AD4" w:rsidRPr="00B60AD4" w:rsidTr="00910269">
        <w:tc>
          <w:tcPr>
            <w:tcW w:w="3322" w:type="dxa"/>
            <w:tcBorders>
              <w:top w:val="single" w:sz="4" w:space="0" w:color="auto"/>
              <w:left w:val="single" w:sz="4" w:space="0" w:color="auto"/>
              <w:bottom w:val="single" w:sz="4" w:space="0" w:color="auto"/>
              <w:right w:val="single" w:sz="4" w:space="0" w:color="auto"/>
            </w:tcBorders>
          </w:tcPr>
          <w:p w:rsidR="002D7F2D" w:rsidRDefault="002D7F2D" w:rsidP="00B60AD4"/>
          <w:p w:rsidR="00B60AD4" w:rsidRPr="00B60AD4" w:rsidRDefault="00B60AD4" w:rsidP="00B60AD4">
            <w:r w:rsidRPr="00B60AD4">
              <w:t xml:space="preserve">Ensure </w:t>
            </w:r>
            <w:r w:rsidR="008B20BF">
              <w:t xml:space="preserve">that CHT </w:t>
            </w:r>
            <w:r w:rsidRPr="00B60AD4">
              <w:t>continues to adapt properties to ensure people can live in homes to meet their needs.</w:t>
            </w:r>
          </w:p>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hideMark/>
          </w:tcPr>
          <w:p w:rsidR="002D7F2D" w:rsidRDefault="002D7F2D" w:rsidP="00B60AD4"/>
          <w:p w:rsidR="00B60AD4" w:rsidRPr="00B60AD4" w:rsidRDefault="008B20BF" w:rsidP="00B60AD4">
            <w:r>
              <w:t xml:space="preserve">CHT </w:t>
            </w:r>
            <w:r w:rsidR="008A19B6">
              <w:t>will respond positively to requests to adapt property to continue to meet residents needs</w:t>
            </w:r>
            <w:r w:rsidR="00B60AD4" w:rsidRPr="00B60AD4">
              <w:t xml:space="preserve"> </w:t>
            </w:r>
          </w:p>
        </w:tc>
        <w:tc>
          <w:tcPr>
            <w:tcW w:w="3322" w:type="dxa"/>
            <w:tcBorders>
              <w:top w:val="single" w:sz="4" w:space="0" w:color="auto"/>
              <w:left w:val="single" w:sz="4" w:space="0" w:color="auto"/>
              <w:bottom w:val="single" w:sz="4" w:space="0" w:color="auto"/>
              <w:right w:val="single" w:sz="4" w:space="0" w:color="auto"/>
            </w:tcBorders>
          </w:tcPr>
          <w:p w:rsidR="002D7F2D" w:rsidRDefault="002D7F2D" w:rsidP="00B60AD4"/>
          <w:p w:rsidR="00B60AD4" w:rsidRPr="00B60AD4" w:rsidRDefault="00B60AD4" w:rsidP="00B60AD4">
            <w:r w:rsidRPr="00B60AD4">
              <w:t xml:space="preserve">Through </w:t>
            </w:r>
            <w:r w:rsidR="002D7F2D">
              <w:t>contact</w:t>
            </w:r>
            <w:r w:rsidRPr="00B60AD4">
              <w:t xml:space="preserve"> with local authorities, tenants and care providers, </w:t>
            </w:r>
            <w:r w:rsidR="008B20BF">
              <w:t>CHT</w:t>
            </w:r>
            <w:r w:rsidRPr="00B60AD4">
              <w:t xml:space="preserve"> </w:t>
            </w:r>
            <w:r w:rsidR="002D7F2D">
              <w:t>considers potential adaptations and</w:t>
            </w:r>
            <w:r w:rsidR="00E82770">
              <w:t xml:space="preserve"> discusses potential funding options to meet their requirements.</w:t>
            </w:r>
          </w:p>
          <w:p w:rsidR="00B60AD4" w:rsidRPr="00B60AD4" w:rsidRDefault="00B60AD4" w:rsidP="00B60AD4"/>
        </w:tc>
      </w:tr>
      <w:tr w:rsidR="00B60AD4" w:rsidRPr="00B60AD4" w:rsidTr="00910269">
        <w:trPr>
          <w:trHeight w:val="720"/>
        </w:trPr>
        <w:tc>
          <w:tcPr>
            <w:tcW w:w="3322" w:type="dxa"/>
            <w:tcBorders>
              <w:top w:val="single" w:sz="4" w:space="0" w:color="auto"/>
              <w:left w:val="single" w:sz="4" w:space="0" w:color="auto"/>
              <w:bottom w:val="single" w:sz="4" w:space="0" w:color="auto"/>
              <w:right w:val="single" w:sz="4" w:space="0" w:color="auto"/>
            </w:tcBorders>
          </w:tcPr>
          <w:p w:rsidR="00297F63" w:rsidRDefault="00297F63" w:rsidP="00B60AD4"/>
          <w:p w:rsidR="00B60AD4" w:rsidRPr="00B60AD4" w:rsidRDefault="00B60AD4" w:rsidP="00B60AD4">
            <w:r w:rsidRPr="00B60AD4">
              <w:t>Ensure a quality management, maintenance and support service.</w:t>
            </w:r>
          </w:p>
          <w:p w:rsidR="00881908" w:rsidRPr="00B60AD4" w:rsidRDefault="00881908" w:rsidP="00B60AD4"/>
        </w:tc>
        <w:tc>
          <w:tcPr>
            <w:tcW w:w="3322" w:type="dxa"/>
            <w:tcBorders>
              <w:top w:val="single" w:sz="4" w:space="0" w:color="auto"/>
              <w:left w:val="single" w:sz="4" w:space="0" w:color="auto"/>
              <w:bottom w:val="single" w:sz="4" w:space="0" w:color="auto"/>
              <w:right w:val="single" w:sz="4" w:space="0" w:color="auto"/>
            </w:tcBorders>
          </w:tcPr>
          <w:p w:rsidR="00297F63" w:rsidRDefault="00297F63" w:rsidP="00B60AD4"/>
          <w:p w:rsidR="00B60AD4" w:rsidRPr="00B60AD4" w:rsidRDefault="00330E45" w:rsidP="00B60AD4">
            <w:r>
              <w:t>T</w:t>
            </w:r>
            <w:r w:rsidR="00B60AD4" w:rsidRPr="00B60AD4">
              <w:t>argets as set out in the Service Level Agreement with Castlehill Housing Association</w:t>
            </w:r>
            <w:r>
              <w:t xml:space="preserve"> are met</w:t>
            </w:r>
            <w:r w:rsidR="00B60AD4" w:rsidRPr="00B60AD4">
              <w:t>.</w:t>
            </w:r>
          </w:p>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tcPr>
          <w:p w:rsidR="00297F63" w:rsidRDefault="00297F63" w:rsidP="00B60AD4"/>
          <w:p w:rsidR="00B60AD4" w:rsidRPr="00B60AD4" w:rsidRDefault="00B60AD4" w:rsidP="00B60AD4">
            <w:r w:rsidRPr="00B60AD4">
              <w:t>Performance is reported to the Trust’s Board on a quarterly basis.</w:t>
            </w:r>
          </w:p>
          <w:p w:rsidR="00B60AD4" w:rsidRPr="00B60AD4" w:rsidRDefault="00B60AD4" w:rsidP="00B60AD4"/>
        </w:tc>
      </w:tr>
      <w:tr w:rsidR="00B60AD4" w:rsidRPr="00B60AD4" w:rsidTr="00910269">
        <w:trPr>
          <w:trHeight w:val="3020"/>
        </w:trPr>
        <w:tc>
          <w:tcPr>
            <w:tcW w:w="3322" w:type="dxa"/>
            <w:tcBorders>
              <w:top w:val="single" w:sz="4" w:space="0" w:color="auto"/>
              <w:left w:val="single" w:sz="4" w:space="0" w:color="auto"/>
              <w:bottom w:val="single" w:sz="4" w:space="0" w:color="auto"/>
              <w:right w:val="single" w:sz="4" w:space="0" w:color="auto"/>
            </w:tcBorders>
          </w:tcPr>
          <w:p w:rsidR="00297F63" w:rsidRDefault="00297F63" w:rsidP="008A19B6"/>
          <w:p w:rsidR="00881908" w:rsidRPr="00B60AD4" w:rsidRDefault="00B60AD4" w:rsidP="008A19B6">
            <w:r w:rsidRPr="00B60AD4">
              <w:t xml:space="preserve">Aspire to complying with the Scottish Housing Quality Standards </w:t>
            </w:r>
            <w:r w:rsidR="008A19B6">
              <w:t>and EESSH in line with the parent RSL, Castlehill HA.</w:t>
            </w:r>
          </w:p>
        </w:tc>
        <w:tc>
          <w:tcPr>
            <w:tcW w:w="3322" w:type="dxa"/>
            <w:tcBorders>
              <w:top w:val="single" w:sz="4" w:space="0" w:color="auto"/>
              <w:left w:val="single" w:sz="4" w:space="0" w:color="auto"/>
              <w:bottom w:val="single" w:sz="4" w:space="0" w:color="auto"/>
              <w:right w:val="single" w:sz="4" w:space="0" w:color="auto"/>
            </w:tcBorders>
          </w:tcPr>
          <w:p w:rsidR="00297F63" w:rsidRDefault="00297F63" w:rsidP="00B60AD4"/>
          <w:p w:rsidR="00B60AD4" w:rsidRPr="00B60AD4" w:rsidRDefault="00B60AD4" w:rsidP="00B60AD4">
            <w:r w:rsidRPr="00B60AD4">
              <w:t>Life cycle costing of</w:t>
            </w:r>
            <w:r w:rsidR="008B20BF">
              <w:t xml:space="preserve"> the stock was </w:t>
            </w:r>
            <w:r w:rsidRPr="00B60AD4">
              <w:t xml:space="preserve">updated </w:t>
            </w:r>
            <w:r w:rsidR="008B20BF">
              <w:t xml:space="preserve">in 2019 to inform a planned maintenance programme and ensure our properties remain fit for purpose. </w:t>
            </w:r>
          </w:p>
          <w:p w:rsidR="00B60AD4" w:rsidRPr="00B60AD4" w:rsidRDefault="00B60AD4" w:rsidP="00B60AD4"/>
          <w:p w:rsidR="00B60AD4" w:rsidRPr="00B60AD4" w:rsidRDefault="00B60AD4" w:rsidP="00B60AD4"/>
        </w:tc>
        <w:tc>
          <w:tcPr>
            <w:tcW w:w="3322" w:type="dxa"/>
            <w:tcBorders>
              <w:top w:val="single" w:sz="4" w:space="0" w:color="auto"/>
              <w:left w:val="single" w:sz="4" w:space="0" w:color="auto"/>
              <w:bottom w:val="single" w:sz="4" w:space="0" w:color="auto"/>
              <w:right w:val="single" w:sz="4" w:space="0" w:color="auto"/>
            </w:tcBorders>
          </w:tcPr>
          <w:p w:rsidR="00297F63" w:rsidRDefault="00297F63" w:rsidP="00B60AD4"/>
          <w:p w:rsidR="00B60AD4" w:rsidRPr="00B60AD4" w:rsidRDefault="008B20BF" w:rsidP="00B60AD4">
            <w:r>
              <w:t>Stock information surveys and all EPC’s completed in 2019.</w:t>
            </w:r>
          </w:p>
          <w:p w:rsidR="00B60AD4" w:rsidRPr="00B60AD4" w:rsidRDefault="00B60AD4" w:rsidP="00B60AD4"/>
          <w:p w:rsidR="00B60AD4" w:rsidRDefault="00B60AD4" w:rsidP="003C4740">
            <w:r w:rsidRPr="00B60AD4">
              <w:t>Input data into QL with which to produce annual planned maintenance budgets</w:t>
            </w:r>
            <w:r w:rsidR="003C4740">
              <w:t>.</w:t>
            </w:r>
            <w:r w:rsidRPr="00B60AD4">
              <w:t xml:space="preserve"> </w:t>
            </w:r>
          </w:p>
          <w:p w:rsidR="00097815" w:rsidRPr="00B60AD4" w:rsidRDefault="00097815" w:rsidP="003C4740"/>
        </w:tc>
      </w:tr>
    </w:tbl>
    <w:p w:rsidR="00B60AD4" w:rsidRPr="00B60AD4" w:rsidRDefault="00B60AD4" w:rsidP="00B60AD4"/>
    <w:p w:rsidR="004212EA" w:rsidRPr="004212EA" w:rsidRDefault="00330E45" w:rsidP="004212EA">
      <w:r>
        <w:t xml:space="preserve">The table above outlines </w:t>
      </w:r>
      <w:proofErr w:type="gramStart"/>
      <w:r w:rsidR="005530A8">
        <w:t xml:space="preserve">CHT’s </w:t>
      </w:r>
      <w:r>
        <w:t xml:space="preserve"> Strategic</w:t>
      </w:r>
      <w:proofErr w:type="gramEnd"/>
      <w:r>
        <w:t xml:space="preserve"> Objectives and further commentary on issues to be considered by the Board during the period of this Plan is given below.</w:t>
      </w:r>
    </w:p>
    <w:p w:rsidR="00BF4630" w:rsidRDefault="00BF4630" w:rsidP="004212EA">
      <w:pPr>
        <w:pStyle w:val="Heading1"/>
      </w:pPr>
    </w:p>
    <w:p w:rsidR="00BF4630" w:rsidRDefault="00BF4630" w:rsidP="00BF4630"/>
    <w:p w:rsidR="004212EA" w:rsidRPr="00243BB6" w:rsidRDefault="004212EA"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lastRenderedPageBreak/>
        <w:t>Structure</w:t>
      </w:r>
    </w:p>
    <w:p w:rsidR="006A53E3" w:rsidRDefault="006A53E3" w:rsidP="001F356B">
      <w:pPr>
        <w:spacing w:after="120"/>
      </w:pPr>
    </w:p>
    <w:p w:rsidR="006A53E3" w:rsidRPr="006A53E3" w:rsidRDefault="006A53E3" w:rsidP="006A53E3">
      <w:r>
        <w:t xml:space="preserve">The Trust is governed by a Board of up to 11 members, who meet at least 4 times a year. </w:t>
      </w:r>
      <w:r w:rsidR="00297F63">
        <w:t xml:space="preserve"> A </w:t>
      </w:r>
      <w:r>
        <w:t>maximum of 6 Board members may be representatives of Cas</w:t>
      </w:r>
      <w:r w:rsidR="00AF651A">
        <w:t xml:space="preserve">tlehill Housing </w:t>
      </w:r>
      <w:proofErr w:type="gramStart"/>
      <w:r w:rsidR="00AF651A">
        <w:t xml:space="preserve">Association, </w:t>
      </w:r>
      <w:r>
        <w:t xml:space="preserve"> </w:t>
      </w:r>
      <w:r w:rsidR="008B20BF">
        <w:t>CHT’s</w:t>
      </w:r>
      <w:proofErr w:type="gramEnd"/>
      <w:r w:rsidR="008B20BF">
        <w:t xml:space="preserve"> </w:t>
      </w:r>
      <w:r>
        <w:t xml:space="preserve"> parent Company. </w:t>
      </w:r>
      <w:r w:rsidR="00297F63">
        <w:t xml:space="preserve"> </w:t>
      </w:r>
      <w:r w:rsidR="008B20BF">
        <w:t>CHT</w:t>
      </w:r>
      <w:r>
        <w:t xml:space="preserve"> aims to ensure that </w:t>
      </w:r>
      <w:r w:rsidR="00AF651A">
        <w:t>the structure and make up of it</w:t>
      </w:r>
      <w:r>
        <w:t>s Board delivers a balanced approach with a range of experience and knowledge</w:t>
      </w:r>
      <w:r w:rsidR="00AF651A">
        <w:t xml:space="preserve">. The Board recognises </w:t>
      </w:r>
      <w:r>
        <w:t>that overall strategic control sits with Castlehill</w:t>
      </w:r>
      <w:r w:rsidR="00AF651A">
        <w:t>,</w:t>
      </w:r>
      <w:r>
        <w:t xml:space="preserve"> but that </w:t>
      </w:r>
      <w:r w:rsidR="008B20BF">
        <w:t>CHT</w:t>
      </w:r>
      <w:r w:rsidR="00AF651A">
        <w:t xml:space="preserve"> must operate and deliver it</w:t>
      </w:r>
      <w:r>
        <w:t>s services in its own distinctive way mee</w:t>
      </w:r>
      <w:r w:rsidR="00AF651A">
        <w:t xml:space="preserve">ting the </w:t>
      </w:r>
      <w:proofErr w:type="gramStart"/>
      <w:r w:rsidR="00AF651A">
        <w:t>particular needs</w:t>
      </w:r>
      <w:proofErr w:type="gramEnd"/>
      <w:r w:rsidR="00AF651A">
        <w:t xml:space="preserve"> of it</w:t>
      </w:r>
      <w:r>
        <w:t>s clients.</w:t>
      </w:r>
      <w:r w:rsidR="001A02D4">
        <w:t xml:space="preserve"> </w:t>
      </w:r>
      <w:r w:rsidR="00297F63">
        <w:t xml:space="preserve"> </w:t>
      </w:r>
      <w:r w:rsidR="001A02D4">
        <w:t xml:space="preserve">Given the close alignment of the aims and objectives of Castlehill and </w:t>
      </w:r>
      <w:r w:rsidR="008B20BF">
        <w:t>CHT</w:t>
      </w:r>
      <w:r w:rsidR="00AF651A">
        <w:t xml:space="preserve"> as c</w:t>
      </w:r>
      <w:r w:rsidR="001A02D4">
        <w:t>haritable organisations, it is not envisaged that any conflict of approach should arise.</w:t>
      </w:r>
    </w:p>
    <w:p w:rsidR="004212EA" w:rsidRDefault="001A02D4" w:rsidP="004212EA">
      <w:r>
        <w:t xml:space="preserve">During the period of this Plan, </w:t>
      </w:r>
      <w:r w:rsidR="00071BF1">
        <w:t>CHT</w:t>
      </w:r>
      <w:r>
        <w:t xml:space="preserve"> will keep Board membership under review to ensure it is fit for purpose and that we have the balance of skills and knowledge required to oversee operations and ensure the interests of </w:t>
      </w:r>
      <w:r w:rsidR="008B20BF">
        <w:t>CHT</w:t>
      </w:r>
      <w:r>
        <w:t xml:space="preserve"> tenants are protected.</w:t>
      </w:r>
      <w:r w:rsidR="00297F63">
        <w:t xml:space="preserve"> </w:t>
      </w:r>
      <w:r w:rsidR="00071BF1">
        <w:t xml:space="preserve"> All CHT Board members have signed up to a Code of Conduct ensuring that compliance and accountability </w:t>
      </w:r>
      <w:proofErr w:type="gramStart"/>
      <w:r w:rsidR="00071BF1">
        <w:t>are adhered to at all times</w:t>
      </w:r>
      <w:proofErr w:type="gramEnd"/>
      <w:r w:rsidR="00071BF1">
        <w:t xml:space="preserve">. </w:t>
      </w:r>
      <w:r>
        <w:t xml:space="preserve"> In addition to Castlehill representation, we will aim to maintain input from local authority representatives and client support providers.</w:t>
      </w:r>
    </w:p>
    <w:p w:rsidR="002352DB" w:rsidRDefault="002352DB" w:rsidP="004212EA"/>
    <w:p w:rsidR="002352DB" w:rsidRDefault="002352DB" w:rsidP="004212EA"/>
    <w:p w:rsidR="002352DB" w:rsidRPr="00243BB6" w:rsidRDefault="002352DB"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t>Housing Stock Maintenance</w:t>
      </w:r>
    </w:p>
    <w:p w:rsidR="002352DB" w:rsidRDefault="002352DB" w:rsidP="001F356B">
      <w:pPr>
        <w:spacing w:after="120"/>
      </w:pPr>
    </w:p>
    <w:p w:rsidR="00686768" w:rsidRPr="008600D7" w:rsidRDefault="00963700" w:rsidP="00A93FA7">
      <w:r w:rsidRPr="008600D7">
        <w:rPr>
          <w:noProof/>
          <w:lang w:eastAsia="en-GB"/>
        </w:rPr>
        <w:drawing>
          <wp:anchor distT="0" distB="0" distL="114300" distR="114300" simplePos="0" relativeHeight="251660288" behindDoc="0" locked="0" layoutInCell="1" allowOverlap="1" wp14:anchorId="21142BE5" wp14:editId="1DE4C10B">
            <wp:simplePos x="0" y="0"/>
            <wp:positionH relativeFrom="column">
              <wp:posOffset>38100</wp:posOffset>
            </wp:positionH>
            <wp:positionV relativeFrom="paragraph">
              <wp:posOffset>894715</wp:posOffset>
            </wp:positionV>
            <wp:extent cx="3067050" cy="2305050"/>
            <wp:effectExtent l="0" t="0" r="0" b="1905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roofErr w:type="gramStart"/>
      <w:r w:rsidR="008B20BF">
        <w:rPr>
          <w:noProof/>
          <w:lang w:eastAsia="en-GB"/>
        </w:rPr>
        <w:t xml:space="preserve">Surveys </w:t>
      </w:r>
      <w:r w:rsidR="00071BF1">
        <w:t xml:space="preserve"> of</w:t>
      </w:r>
      <w:proofErr w:type="gramEnd"/>
      <w:r w:rsidR="00071BF1">
        <w:t xml:space="preserve"> all CHT</w:t>
      </w:r>
      <w:r w:rsidR="002D7F2D" w:rsidRPr="008600D7">
        <w:t xml:space="preserve"> Stock was undertaken during </w:t>
      </w:r>
      <w:r w:rsidR="008B20BF">
        <w:t>2018-2019</w:t>
      </w:r>
      <w:r w:rsidR="00E25627" w:rsidRPr="008600D7">
        <w:t xml:space="preserve"> </w:t>
      </w:r>
      <w:r w:rsidR="00447685" w:rsidRPr="008600D7">
        <w:t>and this</w:t>
      </w:r>
      <w:r w:rsidR="002D7F2D" w:rsidRPr="008600D7">
        <w:t xml:space="preserve"> has </w:t>
      </w:r>
      <w:r w:rsidR="00152349" w:rsidRPr="008600D7">
        <w:t>enable</w:t>
      </w:r>
      <w:r w:rsidR="002D7F2D" w:rsidRPr="008600D7">
        <w:t>d</w:t>
      </w:r>
      <w:r w:rsidR="00152349" w:rsidRPr="008600D7">
        <w:t xml:space="preserve"> accurate Life Cycle Costing data</w:t>
      </w:r>
      <w:r w:rsidR="00686768" w:rsidRPr="008600D7">
        <w:t xml:space="preserve"> to be</w:t>
      </w:r>
      <w:r w:rsidR="00152349" w:rsidRPr="008600D7">
        <w:t xml:space="preserve"> maintained on the Association’s </w:t>
      </w:r>
      <w:r w:rsidR="00427839" w:rsidRPr="008600D7">
        <w:t>QL computer</w:t>
      </w:r>
      <w:r w:rsidR="007603C9" w:rsidRPr="008600D7">
        <w:t xml:space="preserve"> </w:t>
      </w:r>
      <w:r w:rsidR="00152349" w:rsidRPr="008600D7">
        <w:t xml:space="preserve">system. </w:t>
      </w:r>
    </w:p>
    <w:p w:rsidR="00447685" w:rsidRPr="008600D7" w:rsidRDefault="00447685" w:rsidP="00A93FA7">
      <w:r w:rsidRPr="008600D7">
        <w:t xml:space="preserve">The life cycle costing has enabled a planned maintenance programme to be devised in conjunction with the </w:t>
      </w:r>
      <w:r w:rsidR="008B20BF">
        <w:t>CHT</w:t>
      </w:r>
      <w:r w:rsidRPr="008600D7">
        <w:t xml:space="preserve"> Manager and </w:t>
      </w:r>
      <w:r w:rsidR="00297F63">
        <w:t>F</w:t>
      </w:r>
      <w:r w:rsidRPr="008600D7">
        <w:t>inance</w:t>
      </w:r>
      <w:r w:rsidR="00297F63">
        <w:t>,</w:t>
      </w:r>
      <w:r w:rsidRPr="008600D7">
        <w:t xml:space="preserve"> to ensure there is a rolling programme of </w:t>
      </w:r>
      <w:r w:rsidR="00D84145" w:rsidRPr="008600D7">
        <w:t>improvements across</w:t>
      </w:r>
      <w:r w:rsidRPr="008600D7">
        <w:t xml:space="preserve"> the stock.  The close working between departments also allows provision for factors </w:t>
      </w:r>
      <w:r w:rsidR="00D84145">
        <w:t>where planned maintenance may have to move to reactive</w:t>
      </w:r>
      <w:r w:rsidR="008B20BF">
        <w:t>,</w:t>
      </w:r>
      <w:r w:rsidR="00D84145">
        <w:t xml:space="preserve"> where there has been a quick deterioration in items such as windows.</w:t>
      </w:r>
    </w:p>
    <w:p w:rsidR="00447685" w:rsidRPr="003C4740" w:rsidRDefault="00447685" w:rsidP="00A93FA7">
      <w:pPr>
        <w:rPr>
          <w:highlight w:val="yellow"/>
        </w:rPr>
      </w:pPr>
      <w:r w:rsidRPr="008600D7">
        <w:t>Legislation such as HMO licence conditions ensures that our stock meets a high standard of repair</w:t>
      </w:r>
      <w:r w:rsidR="00571A89">
        <w:t>,</w:t>
      </w:r>
      <w:r w:rsidRPr="008600D7">
        <w:t xml:space="preserve"> and continuously evolves to meet the needs of </w:t>
      </w:r>
      <w:r w:rsidR="00D651CB" w:rsidRPr="008600D7">
        <w:t>our legislation and the individual needs of our tenants.</w:t>
      </w:r>
    </w:p>
    <w:p w:rsidR="00297F63" w:rsidRDefault="00297F63">
      <w:pPr>
        <w:rPr>
          <w:rFonts w:eastAsiaTheme="majorEastAsia" w:cstheme="minorHAnsi"/>
          <w:b/>
          <w:color w:val="4F81BD" w:themeColor="accent1"/>
          <w:sz w:val="26"/>
          <w:szCs w:val="26"/>
          <w:lang w:eastAsia="en-GB"/>
        </w:rPr>
      </w:pPr>
      <w:r>
        <w:rPr>
          <w:rFonts w:cstheme="minorHAnsi"/>
          <w:bCs/>
          <w:lang w:eastAsia="en-GB"/>
        </w:rPr>
        <w:br w:type="page"/>
      </w:r>
    </w:p>
    <w:p w:rsidR="00686768" w:rsidRPr="00243BB6" w:rsidRDefault="00686768"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lastRenderedPageBreak/>
        <w:t>Rent and Service Charges</w:t>
      </w:r>
      <w:r w:rsidR="003C4740" w:rsidRPr="00243BB6">
        <w:rPr>
          <w:rFonts w:asciiTheme="minorHAnsi" w:hAnsiTheme="minorHAnsi" w:cstheme="minorHAnsi"/>
          <w:bCs w:val="0"/>
          <w:lang w:eastAsia="en-GB"/>
        </w:rPr>
        <w:t xml:space="preserve">  </w:t>
      </w:r>
    </w:p>
    <w:p w:rsidR="00686768" w:rsidRDefault="00686768" w:rsidP="001F356B">
      <w:pPr>
        <w:spacing w:after="120"/>
      </w:pPr>
    </w:p>
    <w:p w:rsidR="00686768" w:rsidRDefault="00071BF1" w:rsidP="00686768">
      <w:r>
        <w:t>CHT</w:t>
      </w:r>
      <w:r w:rsidR="00686768">
        <w:t xml:space="preserve"> reviews its rent and service charges annually</w:t>
      </w:r>
      <w:r w:rsidR="00297F63">
        <w:t>,</w:t>
      </w:r>
      <w:r>
        <w:t xml:space="preserve"> having implemented a </w:t>
      </w:r>
      <w:r w:rsidR="008B20BF">
        <w:t xml:space="preserve">new rents point structure </w:t>
      </w:r>
      <w:r w:rsidR="00686768">
        <w:t>from 1</w:t>
      </w:r>
      <w:r w:rsidR="00686768" w:rsidRPr="00686768">
        <w:rPr>
          <w:vertAlign w:val="superscript"/>
        </w:rPr>
        <w:t>st</w:t>
      </w:r>
      <w:r w:rsidR="00926FBD">
        <w:t>April</w:t>
      </w:r>
      <w:r w:rsidR="008B20BF">
        <w:t xml:space="preserve"> 2019. </w:t>
      </w:r>
      <w:r w:rsidR="00297F63">
        <w:t xml:space="preserve"> </w:t>
      </w:r>
      <w:r w:rsidR="00E14E77">
        <w:t xml:space="preserve">Rents will continue to be </w:t>
      </w:r>
      <w:r>
        <w:t>set at levels to ensure CHT</w:t>
      </w:r>
      <w:r w:rsidR="00E14E77">
        <w:t xml:space="preserve"> has </w:t>
      </w:r>
      <w:proofErr w:type="gramStart"/>
      <w:r w:rsidR="00E14E77">
        <w:t>sufficient</w:t>
      </w:r>
      <w:proofErr w:type="gramEnd"/>
      <w:r w:rsidR="00E14E77">
        <w:t xml:space="preserve"> income to meet all its obligations</w:t>
      </w:r>
      <w:r w:rsidR="00D93487">
        <w:t xml:space="preserve"> and maintains sufficient future reserves for planned maintenance. </w:t>
      </w:r>
      <w:r w:rsidR="002D7F2D">
        <w:t xml:space="preserve"> </w:t>
      </w:r>
      <w:r w:rsidR="00932C7C">
        <w:t xml:space="preserve"> We will endeavour to ensure </w:t>
      </w:r>
      <w:r w:rsidR="00D84145">
        <w:t>that our</w:t>
      </w:r>
      <w:r w:rsidR="002D7F2D">
        <w:t xml:space="preserve"> rents represent the components and ref</w:t>
      </w:r>
      <w:r w:rsidR="00056B06">
        <w:t xml:space="preserve">lect the provision of equipment in our properties. </w:t>
      </w:r>
      <w:r w:rsidR="002D7F2D">
        <w:t xml:space="preserve">  </w:t>
      </w:r>
      <w:r w:rsidR="00056B06">
        <w:t xml:space="preserve"> </w:t>
      </w:r>
      <w:r w:rsidR="002D7F2D">
        <w:t xml:space="preserve"> </w:t>
      </w:r>
      <w:r w:rsidR="00686768">
        <w:t xml:space="preserve"> </w:t>
      </w:r>
      <w:r w:rsidR="008B20BF">
        <w:t xml:space="preserve">However, we need to be mindful of our current classification as “Supported Accommodation” and how we ensure </w:t>
      </w:r>
      <w:r w:rsidR="00734A77">
        <w:t xml:space="preserve">that we continue to receive this </w:t>
      </w:r>
      <w:proofErr w:type="gramStart"/>
      <w:r w:rsidR="00734A77">
        <w:t>exemption</w:t>
      </w:r>
      <w:proofErr w:type="gramEnd"/>
      <w:r w:rsidR="00734A77">
        <w:t xml:space="preserve"> so we are not affected by local housing allowance. </w:t>
      </w:r>
    </w:p>
    <w:p w:rsidR="00D93487" w:rsidRDefault="00963700" w:rsidP="00686768">
      <w:r>
        <w:rPr>
          <w:noProof/>
          <w:lang w:eastAsia="en-GB"/>
        </w:rPr>
        <w:drawing>
          <wp:anchor distT="0" distB="0" distL="114300" distR="114300" simplePos="0" relativeHeight="251661312" behindDoc="0" locked="0" layoutInCell="1" allowOverlap="1" wp14:anchorId="6BCE7618" wp14:editId="6A957246">
            <wp:simplePos x="0" y="0"/>
            <wp:positionH relativeFrom="column">
              <wp:posOffset>2933700</wp:posOffset>
            </wp:positionH>
            <wp:positionV relativeFrom="paragraph">
              <wp:posOffset>173990</wp:posOffset>
            </wp:positionV>
            <wp:extent cx="2819400" cy="2114550"/>
            <wp:effectExtent l="0" t="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D93487">
        <w:t xml:space="preserve">Service equalisation accounts are now in place for each development and will be closely monitored and reviewed annually to ensure service charges accurately reflect actual and estimated </w:t>
      </w:r>
      <w:proofErr w:type="gramStart"/>
      <w:r w:rsidR="00D93487">
        <w:t>costs</w:t>
      </w:r>
      <w:r w:rsidR="00734A77">
        <w:t>,</w:t>
      </w:r>
      <w:r w:rsidR="00D93487">
        <w:t xml:space="preserve"> and</w:t>
      </w:r>
      <w:proofErr w:type="gramEnd"/>
      <w:r w:rsidR="00D93487">
        <w:t xml:space="preserve"> are tailored to specific services at each scheme. </w:t>
      </w:r>
      <w:r w:rsidR="00EE1677">
        <w:t xml:space="preserve"> </w:t>
      </w:r>
      <w:r w:rsidR="00E82770">
        <w:t>There are now programmes in place for servicing disability equipment on a regular basis to ensure</w:t>
      </w:r>
      <w:r w:rsidR="00056B06">
        <w:t xml:space="preserve"> that</w:t>
      </w:r>
      <w:r w:rsidR="00E82770">
        <w:t xml:space="preserve"> where the servicing is the responsibility of </w:t>
      </w:r>
      <w:proofErr w:type="gramStart"/>
      <w:r w:rsidR="00071BF1">
        <w:t xml:space="preserve">CHT, </w:t>
      </w:r>
      <w:r w:rsidR="00E82770">
        <w:t xml:space="preserve"> that</w:t>
      </w:r>
      <w:proofErr w:type="gramEnd"/>
      <w:r w:rsidR="00E82770">
        <w:t xml:space="preserve"> we are meeting our obligations.</w:t>
      </w:r>
      <w:r w:rsidR="00447685">
        <w:t xml:space="preserve"> </w:t>
      </w:r>
      <w:r w:rsidR="00297F63">
        <w:t xml:space="preserve"> </w:t>
      </w:r>
      <w:r w:rsidR="00447685">
        <w:t xml:space="preserve"> P</w:t>
      </w:r>
      <w:r w:rsidR="00D93487">
        <w:t>rovision for replacement of fixtures, fittings and equipment are also now in place and will be kept under review.</w:t>
      </w:r>
    </w:p>
    <w:p w:rsidR="00BE7E70" w:rsidRDefault="00BE7E70" w:rsidP="00686768"/>
    <w:p w:rsidR="00BE7E70" w:rsidRPr="00243BB6" w:rsidRDefault="00EA3E29"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t>New Housing Opportunities</w:t>
      </w:r>
    </w:p>
    <w:p w:rsidR="00EA3E29" w:rsidRDefault="00EA3E29" w:rsidP="001F356B">
      <w:pPr>
        <w:spacing w:after="120"/>
      </w:pPr>
    </w:p>
    <w:p w:rsidR="00EA3E29" w:rsidRPr="000D2B39" w:rsidRDefault="00451558" w:rsidP="00EA3E29">
      <w:r w:rsidRPr="000D2B39">
        <w:t xml:space="preserve">CHT </w:t>
      </w:r>
      <w:r w:rsidR="00EA3E29" w:rsidRPr="000D2B39">
        <w:t xml:space="preserve">recognises the challenges in funding new housing development </w:t>
      </w:r>
      <w:r w:rsidR="00347DC0" w:rsidRPr="000D2B39">
        <w:t xml:space="preserve">through public monies </w:t>
      </w:r>
      <w:r w:rsidR="00EA3E29" w:rsidRPr="000D2B39">
        <w:t xml:space="preserve">following the withdrawal of SNCG and the difficult </w:t>
      </w:r>
      <w:r w:rsidR="00347DC0" w:rsidRPr="000D2B39">
        <w:t xml:space="preserve">public </w:t>
      </w:r>
      <w:r w:rsidR="00EA3E29" w:rsidRPr="000D2B39">
        <w:t>funding climate at present</w:t>
      </w:r>
      <w:r w:rsidR="00347DC0" w:rsidRPr="000D2B39">
        <w:t xml:space="preserve">. </w:t>
      </w:r>
      <w:r w:rsidRPr="000D2B39">
        <w:t>CHT</w:t>
      </w:r>
      <w:r w:rsidR="00EA3E29" w:rsidRPr="000D2B39">
        <w:t xml:space="preserve"> will continue to maximise opportunities for growth</w:t>
      </w:r>
      <w:r w:rsidR="00297F63" w:rsidRPr="000D2B39">
        <w:t>,</w:t>
      </w:r>
      <w:r w:rsidR="00EA3E29" w:rsidRPr="000D2B39">
        <w:t xml:space="preserve"> providing this can be done within available resources and without a negative impact on existing tenants and the maintenance of existing property. </w:t>
      </w:r>
      <w:r w:rsidR="00347DC0" w:rsidRPr="000D2B39">
        <w:t xml:space="preserve">  In 2020 </w:t>
      </w:r>
      <w:r w:rsidR="00DF580F" w:rsidRPr="000D2B39">
        <w:t xml:space="preserve">we funded </w:t>
      </w:r>
      <w:r w:rsidR="00734A77" w:rsidRPr="000D2B39">
        <w:t xml:space="preserve">the reconfiguration of an existing HMO to provide </w:t>
      </w:r>
      <w:proofErr w:type="spellStart"/>
      <w:r w:rsidR="00734A77" w:rsidRPr="000D2B39">
        <w:t>en</w:t>
      </w:r>
      <w:proofErr w:type="spellEnd"/>
      <w:r w:rsidR="00734A77" w:rsidRPr="000D2B39">
        <w:t xml:space="preserve">-suite bathrooms and more usable laundry and accommodation for staff.  In 2020 </w:t>
      </w:r>
      <w:r w:rsidR="00347DC0" w:rsidRPr="000D2B39">
        <w:t xml:space="preserve">with the approval of the CHT board, </w:t>
      </w:r>
      <w:r w:rsidR="00734A77" w:rsidRPr="000D2B39">
        <w:t xml:space="preserve">we propose to </w:t>
      </w:r>
      <w:r w:rsidR="00DF580F" w:rsidRPr="000D2B39">
        <w:t>reconfigure and extend half</w:t>
      </w:r>
      <w:r w:rsidR="00850D6C" w:rsidRPr="000D2B39">
        <w:t xml:space="preserve"> of one of </w:t>
      </w:r>
      <w:proofErr w:type="gramStart"/>
      <w:r w:rsidR="00850D6C" w:rsidRPr="000D2B39">
        <w:t>our  large</w:t>
      </w:r>
      <w:proofErr w:type="gramEnd"/>
      <w:r w:rsidR="00850D6C" w:rsidRPr="000D2B39">
        <w:t xml:space="preserve"> properties </w:t>
      </w:r>
      <w:r w:rsidR="00DF580F" w:rsidRPr="000D2B39">
        <w:t xml:space="preserve"> </w:t>
      </w:r>
      <w:r w:rsidR="00734A77" w:rsidRPr="000D2B39">
        <w:t xml:space="preserve"> currentl</w:t>
      </w:r>
      <w:r w:rsidR="00DF580F" w:rsidRPr="000D2B39">
        <w:t xml:space="preserve">y registered as a Care Home.  </w:t>
      </w:r>
      <w:r w:rsidR="005530A8" w:rsidRPr="000D2B39">
        <w:t>One half will remain as is but the other will change to supported livi</w:t>
      </w:r>
      <w:r w:rsidR="00571A89" w:rsidRPr="000D2B39">
        <w:t>ng where the residents become d</w:t>
      </w:r>
      <w:r w:rsidR="005530A8" w:rsidRPr="000D2B39">
        <w:t>i</w:t>
      </w:r>
      <w:r w:rsidR="00571A89" w:rsidRPr="000D2B39">
        <w:t>r</w:t>
      </w:r>
      <w:r w:rsidR="005530A8" w:rsidRPr="000D2B39">
        <w:t xml:space="preserve">ect tenants of CHT. </w:t>
      </w:r>
      <w:r w:rsidR="00347DC0" w:rsidRPr="000D2B39">
        <w:t>Castlehill</w:t>
      </w:r>
      <w:r w:rsidR="00DF580F" w:rsidRPr="000D2B39">
        <w:t xml:space="preserve"> Housing Association has agreed </w:t>
      </w:r>
      <w:r w:rsidR="00347DC0" w:rsidRPr="000D2B39">
        <w:t xml:space="preserve">in principal </w:t>
      </w:r>
      <w:r w:rsidR="00DF580F" w:rsidRPr="000D2B39">
        <w:t xml:space="preserve">to lease five properties to CHT due for completion in May 2020 which have been earmarked for 5 individuals via our void/nomination agreement. </w:t>
      </w:r>
    </w:p>
    <w:p w:rsidR="005530A8" w:rsidRPr="000D2B39" w:rsidRDefault="007603C9" w:rsidP="005530A8">
      <w:r w:rsidRPr="000D2B39">
        <w:t xml:space="preserve">Castlehill Housing Association is looking at innovative ways of providing new affordable housing and will consider developments that involve a mix of housing options. </w:t>
      </w:r>
      <w:r w:rsidR="00EE1677" w:rsidRPr="000D2B39">
        <w:t xml:space="preserve"> </w:t>
      </w:r>
      <w:r w:rsidRPr="000D2B39">
        <w:t xml:space="preserve">There may be mutually beneficial opportunities for </w:t>
      </w:r>
      <w:r w:rsidR="005530A8" w:rsidRPr="000D2B39">
        <w:t>CHT</w:t>
      </w:r>
      <w:r w:rsidRPr="000D2B39">
        <w:t xml:space="preserve"> and Castlehill to combine resources to make </w:t>
      </w:r>
      <w:proofErr w:type="gramStart"/>
      <w:r w:rsidRPr="000D2B39">
        <w:t>particular development</w:t>
      </w:r>
      <w:proofErr w:type="gramEnd"/>
      <w:r w:rsidRPr="000D2B39">
        <w:t xml:space="preserve"> sites viable, for example where additional local authority funding could be brought in due to </w:t>
      </w:r>
      <w:r w:rsidR="00850D6C" w:rsidRPr="000D2B39">
        <w:t>CHT’s</w:t>
      </w:r>
      <w:r w:rsidRPr="000D2B39">
        <w:t xml:space="preserve"> involvement and the Board will consider such opportunities should they arise.</w:t>
      </w:r>
      <w:r w:rsidR="005530A8" w:rsidRPr="000D2B39">
        <w:t xml:space="preserve">  </w:t>
      </w:r>
    </w:p>
    <w:p w:rsidR="007603C9" w:rsidRPr="000D2B39" w:rsidRDefault="007603C9" w:rsidP="00EA3E29"/>
    <w:p w:rsidR="003C4740" w:rsidRDefault="00451558" w:rsidP="005530A8">
      <w:r w:rsidRPr="000D2B39">
        <w:lastRenderedPageBreak/>
        <w:t>CHT</w:t>
      </w:r>
      <w:r w:rsidR="008537A3" w:rsidRPr="000D2B39">
        <w:t xml:space="preserve"> will continue to seek out such opportunities in conjunction with local authorities and others but must ensure that any new p</w:t>
      </w:r>
      <w:r w:rsidR="00850D6C" w:rsidRPr="000D2B39">
        <w:t>urchase can be financially self-</w:t>
      </w:r>
      <w:r w:rsidR="008537A3" w:rsidRPr="000D2B39">
        <w:t>sustaining.</w:t>
      </w:r>
      <w:r w:rsidR="00EA3E29" w:rsidRPr="000D2B39">
        <w:t xml:space="preserve"> </w:t>
      </w:r>
      <w:r w:rsidR="005530A8" w:rsidRPr="000D2B39">
        <w:t>CHT</w:t>
      </w:r>
      <w:r w:rsidR="00E82770" w:rsidRPr="000D2B39">
        <w:t xml:space="preserve"> has met with the commissioning teams of the three local authorities to ensure that we are consulted </w:t>
      </w:r>
      <w:r w:rsidR="00AB255D" w:rsidRPr="000D2B39">
        <w:t>as part of the ongoing reviews of accommodation for adults with learning disabilities.</w:t>
      </w:r>
      <w:r w:rsidR="00AB255D">
        <w:t xml:space="preserve"> </w:t>
      </w:r>
    </w:p>
    <w:p w:rsidR="00B37CDB" w:rsidRDefault="00B37CDB" w:rsidP="00B37CDB">
      <w:pPr>
        <w:spacing w:after="80"/>
      </w:pPr>
      <w:bookmarkStart w:id="0" w:name="_GoBack"/>
      <w:bookmarkEnd w:id="0"/>
    </w:p>
    <w:p w:rsidR="008537A3" w:rsidRPr="00243BB6" w:rsidRDefault="008537A3"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t>Staffing and Service</w:t>
      </w:r>
    </w:p>
    <w:p w:rsidR="00BF4630" w:rsidRDefault="00BF4630" w:rsidP="001F356B">
      <w:pPr>
        <w:spacing w:after="120"/>
      </w:pPr>
    </w:p>
    <w:p w:rsidR="008537A3" w:rsidRDefault="000C53E7" w:rsidP="00B37CDB">
      <w:pPr>
        <w:spacing w:after="80"/>
      </w:pPr>
      <w:r>
        <w:t xml:space="preserve">Provision of staff time and “back office” services, such as </w:t>
      </w:r>
      <w:r w:rsidR="00850D6C">
        <w:t>finance</w:t>
      </w:r>
      <w:r>
        <w:t xml:space="preserve">, human resources, etc. is governed by a Service Level Agreement with Castlehill. </w:t>
      </w:r>
      <w:r w:rsidR="00B37CDB">
        <w:t xml:space="preserve"> </w:t>
      </w:r>
      <w:r w:rsidR="00EE1677">
        <w:t xml:space="preserve"> </w:t>
      </w:r>
      <w:r>
        <w:t>In addition to allocated time for Housing Manage</w:t>
      </w:r>
      <w:r w:rsidR="00850D6C">
        <w:t xml:space="preserve">ment, Maintenance and Finance </w:t>
      </w:r>
      <w:r>
        <w:t xml:space="preserve">services, the Association employs a part-time Manager to oversee the work of </w:t>
      </w:r>
      <w:r w:rsidR="00451558">
        <w:t>CHT</w:t>
      </w:r>
      <w:r>
        <w:t xml:space="preserve"> and report to the </w:t>
      </w:r>
      <w:r w:rsidR="00451558">
        <w:t>CHT Board</w:t>
      </w:r>
      <w:r>
        <w:t xml:space="preserve">. </w:t>
      </w:r>
      <w:r w:rsidR="00B37CDB">
        <w:t xml:space="preserve"> </w:t>
      </w:r>
      <w:r>
        <w:t>The Board will continue to monitor these arrangements to ensure quality and value of services.</w:t>
      </w:r>
    </w:p>
    <w:p w:rsidR="00B37CDB" w:rsidRDefault="00B37CDB" w:rsidP="00B37CDB">
      <w:pPr>
        <w:spacing w:after="80"/>
      </w:pPr>
    </w:p>
    <w:p w:rsidR="000C53E7" w:rsidRPr="00243BB6" w:rsidRDefault="000C53E7" w:rsidP="00243BB6">
      <w:pPr>
        <w:pStyle w:val="Heading2"/>
        <w:numPr>
          <w:ilvl w:val="0"/>
          <w:numId w:val="2"/>
        </w:numPr>
        <w:ind w:left="0" w:firstLine="0"/>
        <w:rPr>
          <w:rFonts w:asciiTheme="minorHAnsi" w:hAnsiTheme="minorHAnsi" w:cstheme="minorHAnsi"/>
          <w:bCs w:val="0"/>
          <w:lang w:eastAsia="en-GB"/>
        </w:rPr>
      </w:pPr>
      <w:r w:rsidRPr="00243BB6">
        <w:rPr>
          <w:rFonts w:asciiTheme="minorHAnsi" w:hAnsiTheme="minorHAnsi" w:cstheme="minorHAnsi"/>
          <w:bCs w:val="0"/>
          <w:lang w:eastAsia="en-GB"/>
        </w:rPr>
        <w:t>Policy and Procedure Development</w:t>
      </w:r>
    </w:p>
    <w:p w:rsidR="000C53E7" w:rsidRDefault="000C53E7" w:rsidP="001F356B">
      <w:pPr>
        <w:spacing w:after="120"/>
      </w:pPr>
    </w:p>
    <w:p w:rsidR="000C53E7" w:rsidRDefault="00850D6C" w:rsidP="000C53E7">
      <w:r>
        <w:t>CHT</w:t>
      </w:r>
      <w:r w:rsidR="000C53E7">
        <w:t xml:space="preserve"> has benefited from Policy integration with Castlehill in areas such as Health &amp; Safety with the Trust Manager being part of the Associations Health &amp; Safety Management Group. </w:t>
      </w:r>
      <w:r w:rsidR="00C71C93">
        <w:t xml:space="preserve">Our recent membership of EVH has also ensured that we have additional resources to </w:t>
      </w:r>
      <w:r w:rsidR="00E25627">
        <w:t>ensure legal compliance with the constantly evolving requirements of health and safety.</w:t>
      </w:r>
    </w:p>
    <w:p w:rsidR="000C53E7" w:rsidRPr="000C53E7" w:rsidRDefault="000C53E7" w:rsidP="000C53E7">
      <w:r>
        <w:t>In addition to “internal” policy and procedure revi</w:t>
      </w:r>
      <w:r w:rsidR="00142ADA">
        <w:t>e</w:t>
      </w:r>
      <w:r>
        <w:t>w, we will continue to monitor arrangements we have with the three local authorities in the Trust</w:t>
      </w:r>
      <w:r w:rsidR="00B37CDB">
        <w:t>’</w:t>
      </w:r>
      <w:r>
        <w:t xml:space="preserve">s area of operation, e.g. on </w:t>
      </w:r>
      <w:r w:rsidR="00142ADA">
        <w:t>Allocations and meeting void costs, to ensure these remain fit for purpose and reflect localised needs and demands.</w:t>
      </w:r>
      <w:r w:rsidR="00AB255D">
        <w:t xml:space="preserve">  There is a current void loss/allocations policy with</w:t>
      </w:r>
      <w:r w:rsidR="00D84145">
        <w:t xml:space="preserve"> </w:t>
      </w:r>
      <w:r w:rsidR="00AB255D">
        <w:t xml:space="preserve">the three local authorities that we work with. </w:t>
      </w:r>
    </w:p>
    <w:p w:rsidR="001A02D4" w:rsidRDefault="00C57292" w:rsidP="00C57292">
      <w:pPr>
        <w:jc w:val="center"/>
      </w:pPr>
      <w:r>
        <w:rPr>
          <w:noProof/>
          <w:lang w:eastAsia="en-GB"/>
        </w:rPr>
        <w:drawing>
          <wp:inline distT="0" distB="0" distL="0" distR="0" wp14:anchorId="024DD581" wp14:editId="7F0462D1">
            <wp:extent cx="4657725" cy="23431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A02D4" w:rsidRDefault="001A02D4" w:rsidP="004212EA"/>
    <w:p w:rsidR="004212EA" w:rsidRPr="00243BB6" w:rsidRDefault="001927BD" w:rsidP="00B37CDB">
      <w:pPr>
        <w:pStyle w:val="Heading2"/>
        <w:numPr>
          <w:ilvl w:val="0"/>
          <w:numId w:val="2"/>
        </w:numPr>
        <w:spacing w:before="0" w:after="120"/>
        <w:ind w:left="0" w:firstLine="0"/>
        <w:rPr>
          <w:rFonts w:asciiTheme="minorHAnsi" w:hAnsiTheme="minorHAnsi" w:cstheme="minorHAnsi"/>
          <w:bCs w:val="0"/>
          <w:lang w:eastAsia="en-GB"/>
        </w:rPr>
      </w:pPr>
      <w:r w:rsidRPr="00243BB6">
        <w:rPr>
          <w:rFonts w:asciiTheme="minorHAnsi" w:hAnsiTheme="minorHAnsi" w:cstheme="minorHAnsi"/>
          <w:bCs w:val="0"/>
          <w:lang w:eastAsia="en-GB"/>
        </w:rPr>
        <w:t>Risks and Controls</w:t>
      </w:r>
    </w:p>
    <w:p w:rsidR="00043989" w:rsidRDefault="00043989" w:rsidP="00B37CDB">
      <w:pPr>
        <w:spacing w:after="120"/>
      </w:pPr>
    </w:p>
    <w:p w:rsidR="001927BD" w:rsidRDefault="001927BD" w:rsidP="00043989">
      <w:r>
        <w:lastRenderedPageBreak/>
        <w:t xml:space="preserve">Given </w:t>
      </w:r>
      <w:r w:rsidR="00C11917">
        <w:t>its</w:t>
      </w:r>
      <w:r>
        <w:t xml:space="preserve"> status as a subsidiary of Castlehill Housing Association,</w:t>
      </w:r>
      <w:r w:rsidR="00C11917">
        <w:t xml:space="preserve"> many o</w:t>
      </w:r>
      <w:r w:rsidR="00850D6C">
        <w:t xml:space="preserve">f the operational risks </w:t>
      </w:r>
      <w:proofErr w:type="gramStart"/>
      <w:r w:rsidR="00850D6C">
        <w:t xml:space="preserve">that </w:t>
      </w:r>
      <w:r w:rsidR="00C11917">
        <w:t xml:space="preserve"> </w:t>
      </w:r>
      <w:r w:rsidR="0020558E">
        <w:t>CHT</w:t>
      </w:r>
      <w:proofErr w:type="gramEnd"/>
      <w:r w:rsidR="00C11917">
        <w:t xml:space="preserve"> needs to consider are covered under Castlehill’s Risk </w:t>
      </w:r>
      <w:r w:rsidR="00A446B3">
        <w:t>Register,</w:t>
      </w:r>
      <w:r w:rsidR="00C11917">
        <w:t xml:space="preserve"> </w:t>
      </w:r>
      <w:r w:rsidR="00A446B3">
        <w:t>which</w:t>
      </w:r>
      <w:r w:rsidR="00C11917">
        <w:t xml:space="preserve"> is updated </w:t>
      </w:r>
      <w:r w:rsidR="00A446B3">
        <w:t>on a six-monthly basis.</w:t>
      </w:r>
      <w:r w:rsidR="00C11917">
        <w:t xml:space="preserve"> </w:t>
      </w:r>
      <w:r w:rsidR="00B37CDB">
        <w:t xml:space="preserve"> </w:t>
      </w:r>
      <w:r w:rsidR="00C11917">
        <w:t>Examples of this would be on risks controlled by appropriate Insurance</w:t>
      </w:r>
      <w:r w:rsidR="00B37CDB">
        <w:t>,</w:t>
      </w:r>
      <w:r w:rsidR="00C11917">
        <w:t xml:space="preserve"> or associated with staffing, as all staff providing services to </w:t>
      </w:r>
      <w:r w:rsidR="0020558E">
        <w:t>CHT</w:t>
      </w:r>
      <w:r w:rsidR="00C11917">
        <w:t xml:space="preserve"> are employed by Castlehill. </w:t>
      </w:r>
      <w:r w:rsidR="00B37CDB">
        <w:t xml:space="preserve"> </w:t>
      </w:r>
      <w:r w:rsidR="00C11917">
        <w:t xml:space="preserve">The table below </w:t>
      </w:r>
      <w:r w:rsidR="00850D6C">
        <w:t>detail</w:t>
      </w:r>
      <w:r w:rsidR="00C11917">
        <w:t>s a number of the specific risks and</w:t>
      </w:r>
      <w:r w:rsidR="0020558E">
        <w:t xml:space="preserve"> control measures that the CHT</w:t>
      </w:r>
      <w:r w:rsidR="00C11917">
        <w:t xml:space="preserve"> Board wish to consider</w:t>
      </w:r>
      <w:r w:rsidR="00822C51">
        <w:t xml:space="preserve"> during the lifetime of this Business </w:t>
      </w:r>
      <w:proofErr w:type="gramStart"/>
      <w:r w:rsidR="00822C51">
        <w:t>Plan, but</w:t>
      </w:r>
      <w:proofErr w:type="gramEnd"/>
      <w:r w:rsidR="00822C51">
        <w:t xml:space="preserve"> should be read in parallel with Castlehill’s risk management documents</w:t>
      </w:r>
      <w:r w:rsidR="00EE1677">
        <w:t>.</w:t>
      </w:r>
    </w:p>
    <w:p w:rsidR="00822C51" w:rsidRDefault="00822C51" w:rsidP="00043989"/>
    <w:p w:rsidR="00822C51" w:rsidRDefault="00822C51" w:rsidP="00822C51">
      <w:pPr>
        <w:pStyle w:val="Heading3"/>
      </w:pPr>
      <w:r>
        <w:t>Category 1 – External Factors.</w:t>
      </w:r>
    </w:p>
    <w:tbl>
      <w:tblPr>
        <w:tblW w:w="9306" w:type="dxa"/>
        <w:tblLook w:val="04A0" w:firstRow="1" w:lastRow="0" w:firstColumn="1" w:lastColumn="0" w:noHBand="0" w:noVBand="1"/>
      </w:tblPr>
      <w:tblGrid>
        <w:gridCol w:w="8862"/>
        <w:gridCol w:w="222"/>
        <w:gridCol w:w="222"/>
      </w:tblGrid>
      <w:tr w:rsidR="00822C51" w:rsidTr="000829EB">
        <w:tc>
          <w:tcPr>
            <w:tcW w:w="8862" w:type="dxa"/>
          </w:tcPr>
          <w:p w:rsidR="00822C51" w:rsidRDefault="00822C51" w:rsidP="00822C51"/>
          <w:tbl>
            <w:tblPr>
              <w:tblStyle w:val="TableGrid"/>
              <w:tblW w:w="8415" w:type="dxa"/>
              <w:tblLook w:val="04A0" w:firstRow="1" w:lastRow="0" w:firstColumn="1" w:lastColumn="0" w:noHBand="0" w:noVBand="1"/>
            </w:tblPr>
            <w:tblGrid>
              <w:gridCol w:w="2803"/>
              <w:gridCol w:w="2806"/>
              <w:gridCol w:w="2806"/>
            </w:tblGrid>
            <w:tr w:rsidR="00C835F1" w:rsidTr="00C835F1">
              <w:trPr>
                <w:trHeight w:val="1039"/>
              </w:trPr>
              <w:tc>
                <w:tcPr>
                  <w:tcW w:w="2803" w:type="dxa"/>
                </w:tcPr>
                <w:p w:rsidR="00C835F1" w:rsidRPr="000829EB" w:rsidRDefault="00C835F1" w:rsidP="000829EB">
                  <w:pPr>
                    <w:rPr>
                      <w:b/>
                      <w:sz w:val="24"/>
                      <w:szCs w:val="24"/>
                    </w:rPr>
                  </w:pPr>
                  <w:r w:rsidRPr="000829EB">
                    <w:rPr>
                      <w:b/>
                      <w:sz w:val="24"/>
                      <w:szCs w:val="24"/>
                    </w:rPr>
                    <w:t>Risk</w:t>
                  </w:r>
                </w:p>
              </w:tc>
              <w:tc>
                <w:tcPr>
                  <w:tcW w:w="2806" w:type="dxa"/>
                </w:tcPr>
                <w:p w:rsidR="00C835F1" w:rsidRPr="000829EB" w:rsidRDefault="00C835F1" w:rsidP="000829EB">
                  <w:pPr>
                    <w:rPr>
                      <w:b/>
                      <w:sz w:val="24"/>
                      <w:szCs w:val="24"/>
                    </w:rPr>
                  </w:pPr>
                  <w:r w:rsidRPr="000829EB">
                    <w:rPr>
                      <w:b/>
                      <w:sz w:val="24"/>
                      <w:szCs w:val="24"/>
                    </w:rPr>
                    <w:t>Control in Place</w:t>
                  </w:r>
                </w:p>
              </w:tc>
              <w:tc>
                <w:tcPr>
                  <w:tcW w:w="2806" w:type="dxa"/>
                </w:tcPr>
                <w:p w:rsidR="00C835F1" w:rsidRPr="000829EB" w:rsidRDefault="00C835F1" w:rsidP="000829EB">
                  <w:pPr>
                    <w:rPr>
                      <w:b/>
                      <w:sz w:val="24"/>
                      <w:szCs w:val="24"/>
                    </w:rPr>
                  </w:pPr>
                  <w:r w:rsidRPr="000829EB">
                    <w:rPr>
                      <w:b/>
                      <w:sz w:val="24"/>
                      <w:szCs w:val="24"/>
                    </w:rPr>
                    <w:t>Likely Impact as Modified by Control</w:t>
                  </w:r>
                </w:p>
              </w:tc>
            </w:tr>
            <w:tr w:rsidR="00C835F1" w:rsidTr="00C835F1">
              <w:trPr>
                <w:trHeight w:val="1039"/>
              </w:trPr>
              <w:tc>
                <w:tcPr>
                  <w:tcW w:w="2803" w:type="dxa"/>
                </w:tcPr>
                <w:p w:rsidR="00C835F1" w:rsidRDefault="00C753D9" w:rsidP="00822C51">
                  <w:r>
                    <w:t>Lack of available funding to undertake new development activity</w:t>
                  </w:r>
                  <w:r w:rsidR="00BF4630">
                    <w:t>.</w:t>
                  </w:r>
                </w:p>
              </w:tc>
              <w:tc>
                <w:tcPr>
                  <w:tcW w:w="2806" w:type="dxa"/>
                </w:tcPr>
                <w:p w:rsidR="00C835F1" w:rsidRDefault="00C753D9" w:rsidP="00822C51">
                  <w:r>
                    <w:t>Liaison with local authorities and loan providers.</w:t>
                  </w:r>
                  <w:r w:rsidR="000829EB">
                    <w:t xml:space="preserve"> </w:t>
                  </w:r>
                  <w:r>
                    <w:t xml:space="preserve"> Links to Castlehill development activities.</w:t>
                  </w:r>
                  <w:r w:rsidR="00457D09">
                    <w:t xml:space="preserve"> Modelling package used by Castlehill to be utilised to </w:t>
                  </w:r>
                  <w:proofErr w:type="gramStart"/>
                  <w:r w:rsidR="00457D09">
                    <w:t>refine</w:t>
                  </w:r>
                  <w:r w:rsidR="00BF4630">
                    <w:t xml:space="preserve"> </w:t>
                  </w:r>
                  <w:r w:rsidR="00457D09">
                    <w:t xml:space="preserve"> financial</w:t>
                  </w:r>
                  <w:proofErr w:type="gramEnd"/>
                  <w:r w:rsidR="00457D09">
                    <w:t xml:space="preserve"> forecasts.</w:t>
                  </w:r>
                  <w:r w:rsidR="000829EB">
                    <w:t xml:space="preserve"> </w:t>
                  </w:r>
                  <w:r w:rsidR="00457D09">
                    <w:t xml:space="preserve"> This will encompass the ongoing securities review</w:t>
                  </w:r>
                  <w:r w:rsidR="000829EB">
                    <w:t>,</w:t>
                  </w:r>
                  <w:r w:rsidR="00457D09">
                    <w:t xml:space="preserve"> to enable </w:t>
                  </w:r>
                  <w:r w:rsidR="0020558E">
                    <w:t>CHT</w:t>
                  </w:r>
                  <w:r w:rsidR="00457D09">
                    <w:t xml:space="preserve"> to clearly see our unencumbered stock.</w:t>
                  </w:r>
                </w:p>
              </w:tc>
              <w:tc>
                <w:tcPr>
                  <w:tcW w:w="2806" w:type="dxa"/>
                </w:tcPr>
                <w:p w:rsidR="00C835F1" w:rsidRDefault="00457D09" w:rsidP="00822C51">
                  <w:r>
                    <w:t>Medium</w:t>
                  </w:r>
                </w:p>
              </w:tc>
            </w:tr>
            <w:tr w:rsidR="00C835F1" w:rsidTr="00C835F1">
              <w:trPr>
                <w:trHeight w:val="981"/>
              </w:trPr>
              <w:tc>
                <w:tcPr>
                  <w:tcW w:w="2803" w:type="dxa"/>
                </w:tcPr>
                <w:p w:rsidR="00C835F1" w:rsidRDefault="00C753D9" w:rsidP="00822C51">
                  <w:r>
                    <w:t>Changes in commissioned services funded by Local Authority Housing Support and Social Care budgets</w:t>
                  </w:r>
                </w:p>
              </w:tc>
              <w:tc>
                <w:tcPr>
                  <w:tcW w:w="2806" w:type="dxa"/>
                </w:tcPr>
                <w:p w:rsidR="00C835F1" w:rsidRDefault="00427839" w:rsidP="00C753D9">
                  <w:r>
                    <w:t>On-going</w:t>
                  </w:r>
                  <w:r w:rsidR="00C753D9">
                    <w:t xml:space="preserve"> dialogue with Local Authority partners and support providers</w:t>
                  </w:r>
                </w:p>
              </w:tc>
              <w:tc>
                <w:tcPr>
                  <w:tcW w:w="2806" w:type="dxa"/>
                </w:tcPr>
                <w:p w:rsidR="00C835F1" w:rsidRDefault="00C753D9" w:rsidP="00822C51">
                  <w:r>
                    <w:t>Medium</w:t>
                  </w:r>
                </w:p>
              </w:tc>
            </w:tr>
            <w:tr w:rsidR="00C835F1" w:rsidTr="00C835F1">
              <w:trPr>
                <w:trHeight w:val="1039"/>
              </w:trPr>
              <w:tc>
                <w:tcPr>
                  <w:tcW w:w="2803" w:type="dxa"/>
                </w:tcPr>
                <w:p w:rsidR="00C835F1" w:rsidRDefault="00C753D9" w:rsidP="00822C51">
                  <w:r>
                    <w:t>Failure of nomination arrangements with Local Authorities leading to voids.</w:t>
                  </w:r>
                </w:p>
              </w:tc>
              <w:tc>
                <w:tcPr>
                  <w:tcW w:w="2806" w:type="dxa"/>
                </w:tcPr>
                <w:p w:rsidR="00C835F1" w:rsidRDefault="00C753D9" w:rsidP="00822C51">
                  <w:r>
                    <w:t>Allocations and Void loss cover agreements in place and closely monitored</w:t>
                  </w:r>
                </w:p>
              </w:tc>
              <w:tc>
                <w:tcPr>
                  <w:tcW w:w="2806" w:type="dxa"/>
                </w:tcPr>
                <w:p w:rsidR="00C835F1" w:rsidRDefault="00C753D9" w:rsidP="00822C51">
                  <w:r>
                    <w:t>Low</w:t>
                  </w:r>
                </w:p>
              </w:tc>
            </w:tr>
            <w:tr w:rsidR="00C835F1" w:rsidTr="000829EB">
              <w:trPr>
                <w:trHeight w:val="1039"/>
              </w:trPr>
              <w:tc>
                <w:tcPr>
                  <w:tcW w:w="2803" w:type="dxa"/>
                  <w:tcBorders>
                    <w:bottom w:val="single" w:sz="4" w:space="0" w:color="auto"/>
                  </w:tcBorders>
                </w:tcPr>
                <w:p w:rsidR="00C835F1" w:rsidRDefault="00427839" w:rsidP="00822C51">
                  <w:r>
                    <w:t>Welfare Reform and Housing Benefit Changes</w:t>
                  </w:r>
                  <w:r w:rsidR="0020558E">
                    <w:t xml:space="preserve"> in relation to impacting on rental income/increased arrears.</w:t>
                  </w:r>
                </w:p>
              </w:tc>
              <w:tc>
                <w:tcPr>
                  <w:tcW w:w="2806" w:type="dxa"/>
                  <w:tcBorders>
                    <w:bottom w:val="single" w:sz="4" w:space="0" w:color="auto"/>
                  </w:tcBorders>
                </w:tcPr>
                <w:p w:rsidR="00C835F1" w:rsidRDefault="00427839" w:rsidP="00822C51">
                  <w:r>
                    <w:t xml:space="preserve">Castlehill wide mitigation work. </w:t>
                  </w:r>
                  <w:r w:rsidR="0020558E">
                    <w:t xml:space="preserve"> Currently local authority looking at our classification of “Supported Housing” accommodation </w:t>
                  </w:r>
                  <w:r w:rsidR="00571A89">
                    <w:t>as</w:t>
                  </w:r>
                  <w:r w:rsidR="0020558E">
                    <w:t xml:space="preserve"> we do not provide or supervise the care.  Meetings with LA Commissioning Teams to ensure we meet the criteria to be exempt from Local Housing Allowance. </w:t>
                  </w:r>
                </w:p>
              </w:tc>
              <w:tc>
                <w:tcPr>
                  <w:tcW w:w="2806" w:type="dxa"/>
                  <w:tcBorders>
                    <w:bottom w:val="single" w:sz="4" w:space="0" w:color="auto"/>
                  </w:tcBorders>
                </w:tcPr>
                <w:p w:rsidR="00C835F1" w:rsidRDefault="00427839" w:rsidP="00822C51">
                  <w:r>
                    <w:t>Medium</w:t>
                  </w:r>
                </w:p>
              </w:tc>
            </w:tr>
            <w:tr w:rsidR="000829EB" w:rsidTr="000829EB">
              <w:trPr>
                <w:trHeight w:val="1039"/>
              </w:trPr>
              <w:tc>
                <w:tcPr>
                  <w:tcW w:w="2803" w:type="dxa"/>
                  <w:tcBorders>
                    <w:top w:val="single" w:sz="4" w:space="0" w:color="auto"/>
                  </w:tcBorders>
                </w:tcPr>
                <w:p w:rsidR="000829EB" w:rsidRPr="000829EB" w:rsidRDefault="000829EB" w:rsidP="0020558E">
                  <w:pPr>
                    <w:rPr>
                      <w:b/>
                      <w:sz w:val="24"/>
                      <w:szCs w:val="24"/>
                    </w:rPr>
                  </w:pPr>
                  <w:r w:rsidRPr="000829EB">
                    <w:rPr>
                      <w:b/>
                      <w:sz w:val="24"/>
                      <w:szCs w:val="24"/>
                    </w:rPr>
                    <w:lastRenderedPageBreak/>
                    <w:t>Risk</w:t>
                  </w:r>
                </w:p>
              </w:tc>
              <w:tc>
                <w:tcPr>
                  <w:tcW w:w="2806" w:type="dxa"/>
                  <w:tcBorders>
                    <w:top w:val="single" w:sz="4" w:space="0" w:color="auto"/>
                  </w:tcBorders>
                </w:tcPr>
                <w:p w:rsidR="000829EB" w:rsidRPr="000829EB" w:rsidRDefault="000829EB" w:rsidP="0020558E">
                  <w:pPr>
                    <w:rPr>
                      <w:b/>
                      <w:sz w:val="24"/>
                      <w:szCs w:val="24"/>
                    </w:rPr>
                  </w:pPr>
                  <w:r w:rsidRPr="000829EB">
                    <w:rPr>
                      <w:b/>
                      <w:sz w:val="24"/>
                      <w:szCs w:val="24"/>
                    </w:rPr>
                    <w:t>Control in Place</w:t>
                  </w:r>
                </w:p>
              </w:tc>
              <w:tc>
                <w:tcPr>
                  <w:tcW w:w="2806" w:type="dxa"/>
                  <w:tcBorders>
                    <w:top w:val="single" w:sz="4" w:space="0" w:color="auto"/>
                  </w:tcBorders>
                </w:tcPr>
                <w:p w:rsidR="000829EB" w:rsidRPr="000829EB" w:rsidRDefault="000829EB" w:rsidP="0020558E">
                  <w:pPr>
                    <w:rPr>
                      <w:b/>
                      <w:sz w:val="24"/>
                      <w:szCs w:val="24"/>
                    </w:rPr>
                  </w:pPr>
                  <w:r w:rsidRPr="000829EB">
                    <w:rPr>
                      <w:b/>
                      <w:sz w:val="24"/>
                      <w:szCs w:val="24"/>
                    </w:rPr>
                    <w:t>Likely Impact as Modified by Control</w:t>
                  </w:r>
                </w:p>
              </w:tc>
            </w:tr>
            <w:tr w:rsidR="008247E8" w:rsidTr="00C835F1">
              <w:trPr>
                <w:trHeight w:val="1039"/>
              </w:trPr>
              <w:tc>
                <w:tcPr>
                  <w:tcW w:w="2803" w:type="dxa"/>
                </w:tcPr>
                <w:p w:rsidR="008247E8" w:rsidRDefault="008247E8" w:rsidP="008247E8">
                  <w:r>
                    <w:t>Changes to property to meet external regulatory requirements or new legislation. e.g. Care Inspectorate registration requirements</w:t>
                  </w:r>
                </w:p>
              </w:tc>
              <w:tc>
                <w:tcPr>
                  <w:tcW w:w="2806" w:type="dxa"/>
                </w:tcPr>
                <w:p w:rsidR="008247E8" w:rsidRDefault="008247E8" w:rsidP="00822C51">
                  <w:r>
                    <w:t>Liaison with care and support providers, HMO licence authorities and relevant Health &amp; Safety policies in place</w:t>
                  </w:r>
                </w:p>
              </w:tc>
              <w:tc>
                <w:tcPr>
                  <w:tcW w:w="2806" w:type="dxa"/>
                </w:tcPr>
                <w:p w:rsidR="008247E8" w:rsidRDefault="008247E8" w:rsidP="00822C51">
                  <w:r>
                    <w:t>Medium</w:t>
                  </w:r>
                </w:p>
              </w:tc>
            </w:tr>
            <w:tr w:rsidR="008247E8" w:rsidTr="00C835F1">
              <w:trPr>
                <w:trHeight w:val="1039"/>
              </w:trPr>
              <w:tc>
                <w:tcPr>
                  <w:tcW w:w="2803" w:type="dxa"/>
                </w:tcPr>
                <w:p w:rsidR="008247E8" w:rsidRDefault="008247E8" w:rsidP="008247E8">
                  <w:r>
                    <w:t>Decline in demand or changes in client aspirations</w:t>
                  </w:r>
                </w:p>
              </w:tc>
              <w:tc>
                <w:tcPr>
                  <w:tcW w:w="2806" w:type="dxa"/>
                </w:tcPr>
                <w:p w:rsidR="008247E8" w:rsidRDefault="008247E8" w:rsidP="00822C51">
                  <w:r>
                    <w:t>Close work with local authority strategic staff and knowledge of local needs and demands.</w:t>
                  </w:r>
                </w:p>
              </w:tc>
              <w:tc>
                <w:tcPr>
                  <w:tcW w:w="2806" w:type="dxa"/>
                </w:tcPr>
                <w:p w:rsidR="008247E8" w:rsidRDefault="0020558E" w:rsidP="00822C51">
                  <w:r>
                    <w:t>Medium</w:t>
                  </w:r>
                </w:p>
              </w:tc>
            </w:tr>
            <w:tr w:rsidR="008247E8" w:rsidTr="00C835F1">
              <w:trPr>
                <w:trHeight w:val="1039"/>
              </w:trPr>
              <w:tc>
                <w:tcPr>
                  <w:tcW w:w="2803" w:type="dxa"/>
                </w:tcPr>
                <w:p w:rsidR="008247E8" w:rsidRDefault="008247E8" w:rsidP="008247E8">
                  <w:r>
                    <w:t>Legislative changes requiring adoption of new technologies</w:t>
                  </w:r>
                </w:p>
              </w:tc>
              <w:tc>
                <w:tcPr>
                  <w:tcW w:w="2806" w:type="dxa"/>
                </w:tcPr>
                <w:p w:rsidR="008247E8" w:rsidRDefault="008247E8" w:rsidP="00822C51">
                  <w:r>
                    <w:t>Planned maintenance and improvement programme integrated with Castlehill. Access to funding for new technology such as renewable heat sources.</w:t>
                  </w:r>
                </w:p>
              </w:tc>
              <w:tc>
                <w:tcPr>
                  <w:tcW w:w="2806" w:type="dxa"/>
                </w:tcPr>
                <w:p w:rsidR="008247E8" w:rsidRDefault="008247E8" w:rsidP="00822C51">
                  <w:r>
                    <w:t>Low</w:t>
                  </w:r>
                </w:p>
              </w:tc>
            </w:tr>
            <w:tr w:rsidR="001848CF" w:rsidTr="00C835F1">
              <w:trPr>
                <w:trHeight w:val="1039"/>
              </w:trPr>
              <w:tc>
                <w:tcPr>
                  <w:tcW w:w="2803" w:type="dxa"/>
                </w:tcPr>
                <w:p w:rsidR="001848CF" w:rsidRDefault="001848CF" w:rsidP="008247E8">
                  <w:r>
                    <w:t>Loss of Charitable Status</w:t>
                  </w:r>
                </w:p>
              </w:tc>
              <w:tc>
                <w:tcPr>
                  <w:tcW w:w="2806" w:type="dxa"/>
                </w:tcPr>
                <w:p w:rsidR="001848CF" w:rsidRDefault="001848CF" w:rsidP="00822C51">
                  <w:r>
                    <w:t>Completion of OSCR returns, legal advice</w:t>
                  </w:r>
                </w:p>
              </w:tc>
              <w:tc>
                <w:tcPr>
                  <w:tcW w:w="2806" w:type="dxa"/>
                </w:tcPr>
                <w:p w:rsidR="001848CF" w:rsidRDefault="001848CF" w:rsidP="00822C51">
                  <w:r>
                    <w:t>Low</w:t>
                  </w:r>
                </w:p>
              </w:tc>
            </w:tr>
          </w:tbl>
          <w:p w:rsidR="00910269" w:rsidRDefault="00910269" w:rsidP="00822C51"/>
        </w:tc>
        <w:tc>
          <w:tcPr>
            <w:tcW w:w="222" w:type="dxa"/>
          </w:tcPr>
          <w:p w:rsidR="00822C51" w:rsidRDefault="00822C51" w:rsidP="00822C51"/>
        </w:tc>
        <w:tc>
          <w:tcPr>
            <w:tcW w:w="222" w:type="dxa"/>
          </w:tcPr>
          <w:p w:rsidR="00822C51" w:rsidRDefault="00822C51" w:rsidP="00822C51"/>
        </w:tc>
      </w:tr>
      <w:tr w:rsidR="00822C51" w:rsidTr="000829EB">
        <w:tc>
          <w:tcPr>
            <w:tcW w:w="8862" w:type="dxa"/>
          </w:tcPr>
          <w:p w:rsidR="00822C51" w:rsidRDefault="00822C51" w:rsidP="00822C51"/>
        </w:tc>
        <w:tc>
          <w:tcPr>
            <w:tcW w:w="222" w:type="dxa"/>
          </w:tcPr>
          <w:p w:rsidR="00822C51" w:rsidRDefault="00822C51" w:rsidP="00822C51"/>
        </w:tc>
        <w:tc>
          <w:tcPr>
            <w:tcW w:w="222" w:type="dxa"/>
          </w:tcPr>
          <w:p w:rsidR="00822C51" w:rsidRDefault="00822C51" w:rsidP="00822C51"/>
        </w:tc>
      </w:tr>
      <w:tr w:rsidR="00822C51" w:rsidTr="000829EB">
        <w:tc>
          <w:tcPr>
            <w:tcW w:w="8862" w:type="dxa"/>
          </w:tcPr>
          <w:p w:rsidR="008247E8" w:rsidRDefault="008247E8" w:rsidP="00822C51"/>
          <w:p w:rsidR="008247E8" w:rsidRDefault="008247E8" w:rsidP="008247E8">
            <w:pPr>
              <w:pStyle w:val="Heading2"/>
            </w:pPr>
            <w:r>
              <w:t>Category 2 – Internal Factors</w:t>
            </w:r>
          </w:p>
          <w:p w:rsidR="008247E8" w:rsidRDefault="008247E8" w:rsidP="008247E8"/>
          <w:tbl>
            <w:tblPr>
              <w:tblStyle w:val="TableGrid"/>
              <w:tblW w:w="8636" w:type="dxa"/>
              <w:tblLook w:val="04A0" w:firstRow="1" w:lastRow="0" w:firstColumn="1" w:lastColumn="0" w:noHBand="0" w:noVBand="1"/>
            </w:tblPr>
            <w:tblGrid>
              <w:gridCol w:w="2878"/>
              <w:gridCol w:w="2879"/>
              <w:gridCol w:w="2879"/>
            </w:tblGrid>
            <w:tr w:rsidR="000829EB" w:rsidTr="007D27AF">
              <w:trPr>
                <w:trHeight w:val="990"/>
              </w:trPr>
              <w:tc>
                <w:tcPr>
                  <w:tcW w:w="2878" w:type="dxa"/>
                </w:tcPr>
                <w:p w:rsidR="000829EB" w:rsidRPr="000829EB" w:rsidRDefault="000829EB" w:rsidP="0020558E">
                  <w:pPr>
                    <w:rPr>
                      <w:b/>
                      <w:sz w:val="24"/>
                      <w:szCs w:val="24"/>
                    </w:rPr>
                  </w:pPr>
                  <w:r w:rsidRPr="000829EB">
                    <w:rPr>
                      <w:b/>
                      <w:sz w:val="24"/>
                      <w:szCs w:val="24"/>
                    </w:rPr>
                    <w:t>Risk</w:t>
                  </w:r>
                </w:p>
              </w:tc>
              <w:tc>
                <w:tcPr>
                  <w:tcW w:w="2879" w:type="dxa"/>
                </w:tcPr>
                <w:p w:rsidR="000829EB" w:rsidRPr="000829EB" w:rsidRDefault="000829EB" w:rsidP="0020558E">
                  <w:pPr>
                    <w:rPr>
                      <w:b/>
                      <w:sz w:val="24"/>
                      <w:szCs w:val="24"/>
                    </w:rPr>
                  </w:pPr>
                  <w:r w:rsidRPr="000829EB">
                    <w:rPr>
                      <w:b/>
                      <w:sz w:val="24"/>
                      <w:szCs w:val="24"/>
                    </w:rPr>
                    <w:t>Control in Place</w:t>
                  </w:r>
                </w:p>
              </w:tc>
              <w:tc>
                <w:tcPr>
                  <w:tcW w:w="2879" w:type="dxa"/>
                </w:tcPr>
                <w:p w:rsidR="000829EB" w:rsidRPr="000829EB" w:rsidRDefault="000829EB" w:rsidP="0020558E">
                  <w:pPr>
                    <w:rPr>
                      <w:b/>
                      <w:sz w:val="24"/>
                      <w:szCs w:val="24"/>
                    </w:rPr>
                  </w:pPr>
                  <w:r w:rsidRPr="000829EB">
                    <w:rPr>
                      <w:b/>
                      <w:sz w:val="24"/>
                      <w:szCs w:val="24"/>
                    </w:rPr>
                    <w:t>Likely Impact as Modified by Control</w:t>
                  </w:r>
                </w:p>
              </w:tc>
            </w:tr>
            <w:tr w:rsidR="008247E8" w:rsidTr="007D27AF">
              <w:trPr>
                <w:trHeight w:val="1048"/>
              </w:trPr>
              <w:tc>
                <w:tcPr>
                  <w:tcW w:w="2878" w:type="dxa"/>
                </w:tcPr>
                <w:p w:rsidR="008247E8" w:rsidRDefault="007D27AF" w:rsidP="008247E8">
                  <w:r>
                    <w:t>Becoming financially non-viable</w:t>
                  </w:r>
                </w:p>
              </w:tc>
              <w:tc>
                <w:tcPr>
                  <w:tcW w:w="2879" w:type="dxa"/>
                </w:tcPr>
                <w:p w:rsidR="008247E8" w:rsidRDefault="007D27AF" w:rsidP="008247E8">
                  <w:r>
                    <w:t xml:space="preserve">Audit Process. Long term forecasts, budget setting and control. </w:t>
                  </w:r>
                  <w:r w:rsidR="00850D6C">
                    <w:t xml:space="preserve">Quarterly </w:t>
                  </w:r>
                  <w:proofErr w:type="gramStart"/>
                  <w:r w:rsidR="00850D6C">
                    <w:t xml:space="preserve">Management </w:t>
                  </w:r>
                  <w:r>
                    <w:t xml:space="preserve"> account</w:t>
                  </w:r>
                  <w:r w:rsidR="00850D6C">
                    <w:t>s</w:t>
                  </w:r>
                  <w:proofErr w:type="gramEnd"/>
                  <w:r w:rsidR="00850D6C">
                    <w:t xml:space="preserve"> reported t</w:t>
                  </w:r>
                  <w:r>
                    <w:t xml:space="preserve">o </w:t>
                  </w:r>
                  <w:r w:rsidR="00850D6C">
                    <w:t xml:space="preserve">CHT </w:t>
                  </w:r>
                  <w:r>
                    <w:t xml:space="preserve">Board. </w:t>
                  </w:r>
                </w:p>
              </w:tc>
              <w:tc>
                <w:tcPr>
                  <w:tcW w:w="2879" w:type="dxa"/>
                </w:tcPr>
                <w:p w:rsidR="008247E8" w:rsidRDefault="007D27AF" w:rsidP="008247E8">
                  <w:r>
                    <w:t>Medium</w:t>
                  </w:r>
                </w:p>
              </w:tc>
            </w:tr>
            <w:tr w:rsidR="008247E8" w:rsidTr="000829EB">
              <w:trPr>
                <w:trHeight w:val="1048"/>
              </w:trPr>
              <w:tc>
                <w:tcPr>
                  <w:tcW w:w="2878" w:type="dxa"/>
                  <w:tcBorders>
                    <w:bottom w:val="nil"/>
                  </w:tcBorders>
                </w:tcPr>
                <w:p w:rsidR="008247E8" w:rsidRDefault="007D27AF" w:rsidP="008247E8">
                  <w:r>
                    <w:t>Breach of Loan Covenants</w:t>
                  </w:r>
                </w:p>
              </w:tc>
              <w:tc>
                <w:tcPr>
                  <w:tcW w:w="2879" w:type="dxa"/>
                  <w:tcBorders>
                    <w:bottom w:val="nil"/>
                  </w:tcBorders>
                </w:tcPr>
                <w:p w:rsidR="008247E8" w:rsidRDefault="007D27AF" w:rsidP="008247E8">
                  <w:r>
                    <w:t xml:space="preserve">Budget setting and control. </w:t>
                  </w:r>
                </w:p>
              </w:tc>
              <w:tc>
                <w:tcPr>
                  <w:tcW w:w="2879" w:type="dxa"/>
                  <w:tcBorders>
                    <w:bottom w:val="nil"/>
                  </w:tcBorders>
                </w:tcPr>
                <w:p w:rsidR="008247E8" w:rsidRDefault="007D27AF" w:rsidP="008247E8">
                  <w:r>
                    <w:t>Medium</w:t>
                  </w:r>
                </w:p>
              </w:tc>
            </w:tr>
            <w:tr w:rsidR="008247E8" w:rsidTr="007D27AF">
              <w:trPr>
                <w:trHeight w:val="990"/>
              </w:trPr>
              <w:tc>
                <w:tcPr>
                  <w:tcW w:w="2878" w:type="dxa"/>
                </w:tcPr>
                <w:p w:rsidR="008247E8" w:rsidRDefault="007D27AF" w:rsidP="007D27AF">
                  <w:r>
                    <w:t>Fraud, theft</w:t>
                  </w:r>
                </w:p>
              </w:tc>
              <w:tc>
                <w:tcPr>
                  <w:tcW w:w="2879" w:type="dxa"/>
                </w:tcPr>
                <w:p w:rsidR="008247E8" w:rsidRDefault="007D27AF" w:rsidP="007D27AF">
                  <w:r>
                    <w:t>External audit. Clear staff roles and counterbalance checking, bribery policy, insurance.</w:t>
                  </w:r>
                </w:p>
              </w:tc>
              <w:tc>
                <w:tcPr>
                  <w:tcW w:w="2879" w:type="dxa"/>
                </w:tcPr>
                <w:p w:rsidR="008247E8" w:rsidRDefault="007D27AF" w:rsidP="008247E8">
                  <w:r>
                    <w:t>Low</w:t>
                  </w:r>
                </w:p>
              </w:tc>
            </w:tr>
            <w:tr w:rsidR="000829EB" w:rsidTr="007D27AF">
              <w:trPr>
                <w:trHeight w:val="990"/>
              </w:trPr>
              <w:tc>
                <w:tcPr>
                  <w:tcW w:w="2878" w:type="dxa"/>
                </w:tcPr>
                <w:p w:rsidR="000829EB" w:rsidRPr="000829EB" w:rsidRDefault="000829EB" w:rsidP="0020558E">
                  <w:pPr>
                    <w:rPr>
                      <w:b/>
                      <w:sz w:val="24"/>
                      <w:szCs w:val="24"/>
                    </w:rPr>
                  </w:pPr>
                  <w:r w:rsidRPr="000829EB">
                    <w:rPr>
                      <w:b/>
                      <w:sz w:val="24"/>
                      <w:szCs w:val="24"/>
                    </w:rPr>
                    <w:t>Risk</w:t>
                  </w:r>
                </w:p>
              </w:tc>
              <w:tc>
                <w:tcPr>
                  <w:tcW w:w="2879" w:type="dxa"/>
                </w:tcPr>
                <w:p w:rsidR="000829EB" w:rsidRPr="000829EB" w:rsidRDefault="000829EB" w:rsidP="0020558E">
                  <w:pPr>
                    <w:rPr>
                      <w:b/>
                      <w:sz w:val="24"/>
                      <w:szCs w:val="24"/>
                    </w:rPr>
                  </w:pPr>
                  <w:r w:rsidRPr="000829EB">
                    <w:rPr>
                      <w:b/>
                      <w:sz w:val="24"/>
                      <w:szCs w:val="24"/>
                    </w:rPr>
                    <w:t>Control in Place</w:t>
                  </w:r>
                </w:p>
              </w:tc>
              <w:tc>
                <w:tcPr>
                  <w:tcW w:w="2879" w:type="dxa"/>
                </w:tcPr>
                <w:p w:rsidR="000829EB" w:rsidRPr="000829EB" w:rsidRDefault="000829EB" w:rsidP="0020558E">
                  <w:pPr>
                    <w:rPr>
                      <w:b/>
                      <w:sz w:val="24"/>
                      <w:szCs w:val="24"/>
                    </w:rPr>
                  </w:pPr>
                  <w:r w:rsidRPr="000829EB">
                    <w:rPr>
                      <w:b/>
                      <w:sz w:val="24"/>
                      <w:szCs w:val="24"/>
                    </w:rPr>
                    <w:t>Likely Impact as Modified by Control</w:t>
                  </w:r>
                </w:p>
              </w:tc>
            </w:tr>
            <w:tr w:rsidR="00EC178B" w:rsidTr="007D27AF">
              <w:trPr>
                <w:trHeight w:val="990"/>
              </w:trPr>
              <w:tc>
                <w:tcPr>
                  <w:tcW w:w="2878" w:type="dxa"/>
                </w:tcPr>
                <w:p w:rsidR="00EC178B" w:rsidRDefault="00571A89" w:rsidP="00D84145">
                  <w:proofErr w:type="gramStart"/>
                  <w:r>
                    <w:lastRenderedPageBreak/>
                    <w:t>Rental</w:t>
                  </w:r>
                  <w:r w:rsidR="00BF4630">
                    <w:t xml:space="preserve"> </w:t>
                  </w:r>
                  <w:r w:rsidR="00D84145">
                    <w:t xml:space="preserve"> Income</w:t>
                  </w:r>
                  <w:proofErr w:type="gramEnd"/>
                </w:p>
              </w:tc>
              <w:tc>
                <w:tcPr>
                  <w:tcW w:w="2879" w:type="dxa"/>
                </w:tcPr>
                <w:p w:rsidR="00EC178B" w:rsidRDefault="00D84145" w:rsidP="007D27AF">
                  <w:r>
                    <w:t xml:space="preserve">Review of rents and points setting to be phased in if a large increase/decrease to ensure no significant change to the Trust </w:t>
                  </w:r>
                  <w:r w:rsidR="00BF4630">
                    <w:t xml:space="preserve">rental </w:t>
                  </w:r>
                  <w:r>
                    <w:t>income.</w:t>
                  </w:r>
                </w:p>
              </w:tc>
              <w:tc>
                <w:tcPr>
                  <w:tcW w:w="2879" w:type="dxa"/>
                </w:tcPr>
                <w:p w:rsidR="00EC178B" w:rsidRDefault="00D84145" w:rsidP="008247E8">
                  <w:r>
                    <w:t>Medium</w:t>
                  </w:r>
                </w:p>
              </w:tc>
            </w:tr>
            <w:tr w:rsidR="008247E8" w:rsidTr="007D27AF">
              <w:trPr>
                <w:trHeight w:val="1048"/>
              </w:trPr>
              <w:tc>
                <w:tcPr>
                  <w:tcW w:w="2878" w:type="dxa"/>
                </w:tcPr>
                <w:p w:rsidR="008247E8" w:rsidRDefault="007D27AF" w:rsidP="008247E8">
                  <w:r>
                    <w:t>Arrears, bad debts and void loss</w:t>
                  </w:r>
                </w:p>
              </w:tc>
              <w:tc>
                <w:tcPr>
                  <w:tcW w:w="2879" w:type="dxa"/>
                </w:tcPr>
                <w:p w:rsidR="008247E8" w:rsidRDefault="007D27AF" w:rsidP="008247E8">
                  <w:r>
                    <w:t>Board reporting, debt management policy and access to specialist advice and support</w:t>
                  </w:r>
                </w:p>
              </w:tc>
              <w:tc>
                <w:tcPr>
                  <w:tcW w:w="2879" w:type="dxa"/>
                </w:tcPr>
                <w:p w:rsidR="008247E8" w:rsidRDefault="00BC4347" w:rsidP="008247E8">
                  <w:r>
                    <w:t>Medium</w:t>
                  </w:r>
                </w:p>
              </w:tc>
            </w:tr>
            <w:tr w:rsidR="00BC4347" w:rsidTr="007D27AF">
              <w:trPr>
                <w:trHeight w:val="1048"/>
              </w:trPr>
              <w:tc>
                <w:tcPr>
                  <w:tcW w:w="2878" w:type="dxa"/>
                </w:tcPr>
                <w:p w:rsidR="00BC4347" w:rsidRDefault="003C15E2" w:rsidP="008247E8">
                  <w:r>
                    <w:t>Maintenance and Operation of Life Cycle Costing</w:t>
                  </w:r>
                </w:p>
              </w:tc>
              <w:tc>
                <w:tcPr>
                  <w:tcW w:w="2879" w:type="dxa"/>
                </w:tcPr>
                <w:p w:rsidR="00BC4347" w:rsidRDefault="003C15E2" w:rsidP="008247E8">
                  <w:r>
                    <w:t>Populating data input on Castlehill QL system</w:t>
                  </w:r>
                </w:p>
              </w:tc>
              <w:tc>
                <w:tcPr>
                  <w:tcW w:w="2879" w:type="dxa"/>
                </w:tcPr>
                <w:p w:rsidR="00BC4347" w:rsidRDefault="003C15E2" w:rsidP="008247E8">
                  <w:r>
                    <w:t>Medium</w:t>
                  </w:r>
                </w:p>
              </w:tc>
            </w:tr>
            <w:tr w:rsidR="003C15E2" w:rsidTr="007D27AF">
              <w:trPr>
                <w:trHeight w:val="1048"/>
              </w:trPr>
              <w:tc>
                <w:tcPr>
                  <w:tcW w:w="2878" w:type="dxa"/>
                </w:tcPr>
                <w:p w:rsidR="003C15E2" w:rsidRDefault="001848CF" w:rsidP="008247E8">
                  <w:r>
                    <w:t>Major property related incident e.g. gas explosion, flood</w:t>
                  </w:r>
                </w:p>
              </w:tc>
              <w:tc>
                <w:tcPr>
                  <w:tcW w:w="2879" w:type="dxa"/>
                </w:tcPr>
                <w:p w:rsidR="003C15E2" w:rsidRDefault="001848CF" w:rsidP="001848CF">
                  <w:r>
                    <w:t>Maintenance policy and procedures, emergency response procedures. Insurance</w:t>
                  </w:r>
                </w:p>
              </w:tc>
              <w:tc>
                <w:tcPr>
                  <w:tcW w:w="2879" w:type="dxa"/>
                </w:tcPr>
                <w:p w:rsidR="003C15E2" w:rsidRDefault="001848CF" w:rsidP="008247E8">
                  <w:r>
                    <w:t>Medium</w:t>
                  </w:r>
                </w:p>
              </w:tc>
            </w:tr>
            <w:tr w:rsidR="001848CF" w:rsidTr="007D27AF">
              <w:trPr>
                <w:trHeight w:val="1048"/>
              </w:trPr>
              <w:tc>
                <w:tcPr>
                  <w:tcW w:w="2878" w:type="dxa"/>
                </w:tcPr>
                <w:p w:rsidR="001848CF" w:rsidRDefault="00A204A7" w:rsidP="008247E8">
                  <w:r>
                    <w:t>Maintenance Spend Exceeding Budget</w:t>
                  </w:r>
                </w:p>
              </w:tc>
              <w:tc>
                <w:tcPr>
                  <w:tcW w:w="2879" w:type="dxa"/>
                </w:tcPr>
                <w:p w:rsidR="001848CF" w:rsidRDefault="00A204A7" w:rsidP="001848CF">
                  <w:r>
                    <w:t>Board reporting, policy and procedure, recovery of re-chargeable work</w:t>
                  </w:r>
                </w:p>
              </w:tc>
              <w:tc>
                <w:tcPr>
                  <w:tcW w:w="2879" w:type="dxa"/>
                </w:tcPr>
                <w:p w:rsidR="001848CF" w:rsidRDefault="00A204A7" w:rsidP="008247E8">
                  <w:r>
                    <w:t>Medium</w:t>
                  </w:r>
                </w:p>
              </w:tc>
            </w:tr>
            <w:tr w:rsidR="00A204A7" w:rsidTr="007D27AF">
              <w:trPr>
                <w:trHeight w:val="1048"/>
              </w:trPr>
              <w:tc>
                <w:tcPr>
                  <w:tcW w:w="2878" w:type="dxa"/>
                </w:tcPr>
                <w:p w:rsidR="00A204A7" w:rsidRDefault="00A204A7" w:rsidP="00A204A7">
                  <w:r>
                    <w:t>Accidental property damage by tenants</w:t>
                  </w:r>
                </w:p>
              </w:tc>
              <w:tc>
                <w:tcPr>
                  <w:tcW w:w="2879" w:type="dxa"/>
                </w:tcPr>
                <w:p w:rsidR="00A204A7" w:rsidRDefault="00A204A7" w:rsidP="001848CF">
                  <w:r>
                    <w:t>Liaison with support staff, maximise use of protective elements within buildings and upgrade works, insurance.</w:t>
                  </w:r>
                </w:p>
              </w:tc>
              <w:tc>
                <w:tcPr>
                  <w:tcW w:w="2879" w:type="dxa"/>
                </w:tcPr>
                <w:p w:rsidR="00A204A7" w:rsidRDefault="00A204A7" w:rsidP="008247E8">
                  <w:r>
                    <w:t>Medium</w:t>
                  </w:r>
                </w:p>
              </w:tc>
            </w:tr>
            <w:tr w:rsidR="00A204A7" w:rsidTr="007D27AF">
              <w:trPr>
                <w:trHeight w:val="1048"/>
              </w:trPr>
              <w:tc>
                <w:tcPr>
                  <w:tcW w:w="2878" w:type="dxa"/>
                </w:tcPr>
                <w:p w:rsidR="00A204A7" w:rsidRDefault="00A204A7" w:rsidP="00A204A7">
                  <w:r>
                    <w:t>Failure to provide gas safety certificates</w:t>
                  </w:r>
                </w:p>
              </w:tc>
              <w:tc>
                <w:tcPr>
                  <w:tcW w:w="2879" w:type="dxa"/>
                </w:tcPr>
                <w:p w:rsidR="00A204A7" w:rsidRDefault="00A204A7" w:rsidP="002A22BE">
                  <w:r>
                    <w:t xml:space="preserve">Contract with </w:t>
                  </w:r>
                  <w:r w:rsidR="002A22BE">
                    <w:t>Kingdom Gas</w:t>
                  </w:r>
                  <w:r>
                    <w:t xml:space="preserve"> and close monitoring</w:t>
                  </w:r>
                </w:p>
              </w:tc>
              <w:tc>
                <w:tcPr>
                  <w:tcW w:w="2879" w:type="dxa"/>
                </w:tcPr>
                <w:p w:rsidR="00A204A7" w:rsidRDefault="00A204A7" w:rsidP="008247E8">
                  <w:r>
                    <w:t>Low</w:t>
                  </w:r>
                </w:p>
              </w:tc>
            </w:tr>
            <w:tr w:rsidR="00A204A7" w:rsidTr="007D27AF">
              <w:trPr>
                <w:trHeight w:val="1048"/>
              </w:trPr>
              <w:tc>
                <w:tcPr>
                  <w:tcW w:w="2878" w:type="dxa"/>
                </w:tcPr>
                <w:p w:rsidR="00A204A7" w:rsidRDefault="00F74CC0" w:rsidP="00A204A7">
                  <w:r>
                    <w:t>Failure to comply with Legionella legislation</w:t>
                  </w:r>
                </w:p>
              </w:tc>
              <w:tc>
                <w:tcPr>
                  <w:tcW w:w="2879" w:type="dxa"/>
                </w:tcPr>
                <w:p w:rsidR="00A204A7" w:rsidRDefault="00BA16E0" w:rsidP="001848CF">
                  <w:r>
                    <w:t>Appropriate policy in place</w:t>
                  </w:r>
                </w:p>
              </w:tc>
              <w:tc>
                <w:tcPr>
                  <w:tcW w:w="2879" w:type="dxa"/>
                </w:tcPr>
                <w:p w:rsidR="00A204A7" w:rsidRDefault="00BA16E0" w:rsidP="008247E8">
                  <w:r>
                    <w:t>Low</w:t>
                  </w:r>
                </w:p>
              </w:tc>
            </w:tr>
            <w:tr w:rsidR="00BA16E0" w:rsidTr="007D27AF">
              <w:trPr>
                <w:trHeight w:val="1048"/>
              </w:trPr>
              <w:tc>
                <w:tcPr>
                  <w:tcW w:w="2878" w:type="dxa"/>
                </w:tcPr>
                <w:p w:rsidR="00BA16E0" w:rsidRDefault="00BA16E0" w:rsidP="00A204A7">
                  <w:r>
                    <w:t>Failure to comply with Asbestos legislation</w:t>
                  </w:r>
                </w:p>
              </w:tc>
              <w:tc>
                <w:tcPr>
                  <w:tcW w:w="2879" w:type="dxa"/>
                </w:tcPr>
                <w:p w:rsidR="00BA16E0" w:rsidRDefault="00BA16E0" w:rsidP="001848CF">
                  <w:r>
                    <w:t>Appropriate policy in place</w:t>
                  </w:r>
                </w:p>
              </w:tc>
              <w:tc>
                <w:tcPr>
                  <w:tcW w:w="2879" w:type="dxa"/>
                </w:tcPr>
                <w:p w:rsidR="00BA16E0" w:rsidRDefault="00BA16E0" w:rsidP="008247E8">
                  <w:r>
                    <w:t>Low</w:t>
                  </w:r>
                </w:p>
              </w:tc>
            </w:tr>
            <w:tr w:rsidR="00BA16E0" w:rsidTr="007D27AF">
              <w:trPr>
                <w:trHeight w:val="1048"/>
              </w:trPr>
              <w:tc>
                <w:tcPr>
                  <w:tcW w:w="2878" w:type="dxa"/>
                </w:tcPr>
                <w:p w:rsidR="00BA16E0" w:rsidRDefault="00BA16E0" w:rsidP="00A204A7">
                  <w:r>
                    <w:t>Changes to fire safety requirements</w:t>
                  </w:r>
                </w:p>
              </w:tc>
              <w:tc>
                <w:tcPr>
                  <w:tcW w:w="2879" w:type="dxa"/>
                </w:tcPr>
                <w:p w:rsidR="00BA16E0" w:rsidRDefault="00451558" w:rsidP="001848CF">
                  <w:r>
                    <w:t xml:space="preserve">Annual fire risk </w:t>
                  </w:r>
                  <w:proofErr w:type="gramStart"/>
                  <w:r>
                    <w:t xml:space="preserve">assessments </w:t>
                  </w:r>
                  <w:r w:rsidR="00BA16E0">
                    <w:t xml:space="preserve"> and</w:t>
                  </w:r>
                  <w:proofErr w:type="gramEnd"/>
                  <w:r w:rsidR="00BA16E0">
                    <w:t xml:space="preserve"> qualified advice. Compliant fire safety equipment</w:t>
                  </w:r>
                </w:p>
              </w:tc>
              <w:tc>
                <w:tcPr>
                  <w:tcW w:w="2879" w:type="dxa"/>
                </w:tcPr>
                <w:p w:rsidR="00BA16E0" w:rsidRDefault="00BA16E0" w:rsidP="008247E8">
                  <w:r>
                    <w:t>Medium</w:t>
                  </w:r>
                </w:p>
              </w:tc>
            </w:tr>
            <w:tr w:rsidR="00BA16E0" w:rsidTr="007D27AF">
              <w:trPr>
                <w:trHeight w:val="1048"/>
              </w:trPr>
              <w:tc>
                <w:tcPr>
                  <w:tcW w:w="2878" w:type="dxa"/>
                </w:tcPr>
                <w:p w:rsidR="00BA16E0" w:rsidRDefault="00BA16E0" w:rsidP="00A204A7">
                  <w:r>
                    <w:t>Changes to relevant Health &amp; Safety legislation</w:t>
                  </w:r>
                </w:p>
              </w:tc>
              <w:tc>
                <w:tcPr>
                  <w:tcW w:w="2879" w:type="dxa"/>
                </w:tcPr>
                <w:p w:rsidR="00BA16E0" w:rsidRDefault="00BA16E0" w:rsidP="001848CF">
                  <w:r>
                    <w:t>Training, involvement in Castlehill H&amp;S Management Group.</w:t>
                  </w:r>
                </w:p>
              </w:tc>
              <w:tc>
                <w:tcPr>
                  <w:tcW w:w="2879" w:type="dxa"/>
                </w:tcPr>
                <w:p w:rsidR="00BA16E0" w:rsidRDefault="00BA16E0" w:rsidP="008247E8">
                  <w:r>
                    <w:t>Medium</w:t>
                  </w:r>
                </w:p>
              </w:tc>
            </w:tr>
          </w:tbl>
          <w:p w:rsidR="008247E8" w:rsidRPr="008247E8" w:rsidRDefault="008247E8" w:rsidP="008247E8"/>
        </w:tc>
        <w:tc>
          <w:tcPr>
            <w:tcW w:w="222" w:type="dxa"/>
          </w:tcPr>
          <w:p w:rsidR="00822C51" w:rsidRDefault="00822C51" w:rsidP="00822C51"/>
        </w:tc>
        <w:tc>
          <w:tcPr>
            <w:tcW w:w="222" w:type="dxa"/>
          </w:tcPr>
          <w:p w:rsidR="00822C51" w:rsidRDefault="00822C51" w:rsidP="00822C51"/>
        </w:tc>
      </w:tr>
    </w:tbl>
    <w:p w:rsidR="00574975" w:rsidRDefault="00574975" w:rsidP="000829EB"/>
    <w:sectPr w:rsidR="00574975" w:rsidSect="005969FC">
      <w:footerReference w:type="default" r:id="rId30"/>
      <w:pgSz w:w="11906" w:h="16838"/>
      <w:pgMar w:top="1440" w:right="1440" w:bottom="1440" w:left="1440"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B3B" w:rsidRDefault="00AE0B3B" w:rsidP="00984CFC">
      <w:pPr>
        <w:spacing w:after="0" w:line="240" w:lineRule="auto"/>
      </w:pPr>
      <w:r>
        <w:separator/>
      </w:r>
    </w:p>
  </w:endnote>
  <w:endnote w:type="continuationSeparator" w:id="0">
    <w:p w:rsidR="00AE0B3B" w:rsidRDefault="00AE0B3B" w:rsidP="0098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84305"/>
      <w:docPartObj>
        <w:docPartGallery w:val="Page Numbers (Bottom of Page)"/>
        <w:docPartUnique/>
      </w:docPartObj>
    </w:sdtPr>
    <w:sdtEndPr>
      <w:rPr>
        <w:noProof/>
      </w:rPr>
    </w:sdtEndPr>
    <w:sdtContent>
      <w:p w:rsidR="00734A77" w:rsidRDefault="00734A77">
        <w:pPr>
          <w:pStyle w:val="Footer"/>
          <w:jc w:val="center"/>
        </w:pPr>
        <w:r>
          <w:fldChar w:fldCharType="begin"/>
        </w:r>
        <w:r>
          <w:instrText xml:space="preserve"> PAGE   \* MERGEFORMAT </w:instrText>
        </w:r>
        <w:r>
          <w:fldChar w:fldCharType="separate"/>
        </w:r>
        <w:r w:rsidR="009933BE">
          <w:rPr>
            <w:noProof/>
          </w:rPr>
          <w:t>- 11 -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B3B" w:rsidRDefault="00AE0B3B" w:rsidP="00984CFC">
      <w:pPr>
        <w:spacing w:after="0" w:line="240" w:lineRule="auto"/>
      </w:pPr>
      <w:r>
        <w:separator/>
      </w:r>
    </w:p>
  </w:footnote>
  <w:footnote w:type="continuationSeparator" w:id="0">
    <w:p w:rsidR="00AE0B3B" w:rsidRDefault="00AE0B3B" w:rsidP="0098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82FE3"/>
    <w:multiLevelType w:val="hybridMultilevel"/>
    <w:tmpl w:val="0E3E9E0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3AD09F4"/>
    <w:multiLevelType w:val="hybridMultilevel"/>
    <w:tmpl w:val="BE569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91480C"/>
    <w:multiLevelType w:val="hybridMultilevel"/>
    <w:tmpl w:val="86E0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75"/>
    <w:rsid w:val="00043989"/>
    <w:rsid w:val="00056B06"/>
    <w:rsid w:val="00071BF1"/>
    <w:rsid w:val="000829EB"/>
    <w:rsid w:val="00097815"/>
    <w:rsid w:val="000C06EA"/>
    <w:rsid w:val="000C53E7"/>
    <w:rsid w:val="000D2B39"/>
    <w:rsid w:val="00115EDB"/>
    <w:rsid w:val="00135BD1"/>
    <w:rsid w:val="00142ADA"/>
    <w:rsid w:val="00152349"/>
    <w:rsid w:val="0015675C"/>
    <w:rsid w:val="00156FF7"/>
    <w:rsid w:val="00161D3F"/>
    <w:rsid w:val="001848CF"/>
    <w:rsid w:val="001927BD"/>
    <w:rsid w:val="001A02D4"/>
    <w:rsid w:val="001D39EB"/>
    <w:rsid w:val="001F356B"/>
    <w:rsid w:val="0020558E"/>
    <w:rsid w:val="002352DB"/>
    <w:rsid w:val="00243B65"/>
    <w:rsid w:val="00243BB6"/>
    <w:rsid w:val="00297F63"/>
    <w:rsid w:val="002A22BE"/>
    <w:rsid w:val="002D7F2D"/>
    <w:rsid w:val="00315A53"/>
    <w:rsid w:val="00317666"/>
    <w:rsid w:val="00330E45"/>
    <w:rsid w:val="00347DC0"/>
    <w:rsid w:val="003C15E2"/>
    <w:rsid w:val="003C4740"/>
    <w:rsid w:val="003E2F7D"/>
    <w:rsid w:val="00401236"/>
    <w:rsid w:val="004212EA"/>
    <w:rsid w:val="00427839"/>
    <w:rsid w:val="00447685"/>
    <w:rsid w:val="00451558"/>
    <w:rsid w:val="00457D09"/>
    <w:rsid w:val="004B418C"/>
    <w:rsid w:val="0052237E"/>
    <w:rsid w:val="00522FF2"/>
    <w:rsid w:val="005530A8"/>
    <w:rsid w:val="00571A89"/>
    <w:rsid w:val="00574975"/>
    <w:rsid w:val="005969FC"/>
    <w:rsid w:val="0064244D"/>
    <w:rsid w:val="00686768"/>
    <w:rsid w:val="006A53E3"/>
    <w:rsid w:val="007228D6"/>
    <w:rsid w:val="00732BCD"/>
    <w:rsid w:val="00734A77"/>
    <w:rsid w:val="00743BB4"/>
    <w:rsid w:val="00752773"/>
    <w:rsid w:val="007603C9"/>
    <w:rsid w:val="007D27AF"/>
    <w:rsid w:val="00822C51"/>
    <w:rsid w:val="008247E8"/>
    <w:rsid w:val="00847075"/>
    <w:rsid w:val="00850D6C"/>
    <w:rsid w:val="008537A3"/>
    <w:rsid w:val="008600D7"/>
    <w:rsid w:val="00880F4A"/>
    <w:rsid w:val="00881908"/>
    <w:rsid w:val="00886282"/>
    <w:rsid w:val="008A19B6"/>
    <w:rsid w:val="008A44EB"/>
    <w:rsid w:val="008B20BF"/>
    <w:rsid w:val="008C6498"/>
    <w:rsid w:val="008F10C4"/>
    <w:rsid w:val="00910269"/>
    <w:rsid w:val="00926FBD"/>
    <w:rsid w:val="00932C7C"/>
    <w:rsid w:val="00950927"/>
    <w:rsid w:val="00963700"/>
    <w:rsid w:val="00984CFC"/>
    <w:rsid w:val="009933BE"/>
    <w:rsid w:val="009962C3"/>
    <w:rsid w:val="009B5F72"/>
    <w:rsid w:val="00A204A7"/>
    <w:rsid w:val="00A41878"/>
    <w:rsid w:val="00A446B3"/>
    <w:rsid w:val="00A61295"/>
    <w:rsid w:val="00A80B82"/>
    <w:rsid w:val="00A93FA7"/>
    <w:rsid w:val="00A94381"/>
    <w:rsid w:val="00AA59EE"/>
    <w:rsid w:val="00AB255D"/>
    <w:rsid w:val="00AC6851"/>
    <w:rsid w:val="00AE0B3B"/>
    <w:rsid w:val="00AE723E"/>
    <w:rsid w:val="00AF5DE2"/>
    <w:rsid w:val="00AF651A"/>
    <w:rsid w:val="00B2394D"/>
    <w:rsid w:val="00B37CDB"/>
    <w:rsid w:val="00B60AD4"/>
    <w:rsid w:val="00B87FA5"/>
    <w:rsid w:val="00BA16E0"/>
    <w:rsid w:val="00BC4347"/>
    <w:rsid w:val="00BE7E70"/>
    <w:rsid w:val="00BF4630"/>
    <w:rsid w:val="00C11917"/>
    <w:rsid w:val="00C57292"/>
    <w:rsid w:val="00C71C93"/>
    <w:rsid w:val="00C753D9"/>
    <w:rsid w:val="00C835F1"/>
    <w:rsid w:val="00CA0D09"/>
    <w:rsid w:val="00D60C52"/>
    <w:rsid w:val="00D651CB"/>
    <w:rsid w:val="00D84145"/>
    <w:rsid w:val="00D93487"/>
    <w:rsid w:val="00DA2EBA"/>
    <w:rsid w:val="00DC2AD0"/>
    <w:rsid w:val="00DF580F"/>
    <w:rsid w:val="00E14E77"/>
    <w:rsid w:val="00E25627"/>
    <w:rsid w:val="00E43ED8"/>
    <w:rsid w:val="00E55FCA"/>
    <w:rsid w:val="00E82770"/>
    <w:rsid w:val="00E94598"/>
    <w:rsid w:val="00EA3E29"/>
    <w:rsid w:val="00EA3F9C"/>
    <w:rsid w:val="00EA6414"/>
    <w:rsid w:val="00EB72B5"/>
    <w:rsid w:val="00EC178B"/>
    <w:rsid w:val="00ED6326"/>
    <w:rsid w:val="00EE1677"/>
    <w:rsid w:val="00EF44EB"/>
    <w:rsid w:val="00EF6CD6"/>
    <w:rsid w:val="00EF737C"/>
    <w:rsid w:val="00F44595"/>
    <w:rsid w:val="00F534AD"/>
    <w:rsid w:val="00F74CC0"/>
    <w:rsid w:val="00FB28C0"/>
    <w:rsid w:val="00FC0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55D28-73C2-4383-A756-40E2E88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12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C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975"/>
    <w:rPr>
      <w:rFonts w:ascii="Tahoma" w:hAnsi="Tahoma" w:cs="Tahoma"/>
      <w:sz w:val="16"/>
      <w:szCs w:val="16"/>
    </w:rPr>
  </w:style>
  <w:style w:type="paragraph" w:styleId="Title">
    <w:name w:val="Title"/>
    <w:basedOn w:val="Normal"/>
    <w:next w:val="Normal"/>
    <w:link w:val="TitleChar"/>
    <w:uiPriority w:val="10"/>
    <w:qFormat/>
    <w:rsid w:val="005749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97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439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12E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84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CFC"/>
  </w:style>
  <w:style w:type="paragraph" w:styleId="Footer">
    <w:name w:val="footer"/>
    <w:basedOn w:val="Normal"/>
    <w:link w:val="FooterChar"/>
    <w:uiPriority w:val="99"/>
    <w:unhideWhenUsed/>
    <w:rsid w:val="00984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CFC"/>
  </w:style>
  <w:style w:type="character" w:customStyle="1" w:styleId="Heading3Char">
    <w:name w:val="Heading 3 Char"/>
    <w:basedOn w:val="DefaultParagraphFont"/>
    <w:link w:val="Heading3"/>
    <w:uiPriority w:val="9"/>
    <w:rsid w:val="00822C51"/>
    <w:rPr>
      <w:rFonts w:asciiTheme="majorHAnsi" w:eastAsiaTheme="majorEastAsia" w:hAnsiTheme="majorHAnsi" w:cstheme="majorBidi"/>
      <w:b/>
      <w:bCs/>
      <w:color w:val="4F81BD" w:themeColor="accent1"/>
    </w:rPr>
  </w:style>
  <w:style w:type="table" w:styleId="TableGrid">
    <w:name w:val="Table Grid"/>
    <w:basedOn w:val="TableNormal"/>
    <w:uiPriority w:val="59"/>
    <w:rsid w:val="0091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770"/>
    <w:pPr>
      <w:spacing w:after="0" w:line="240" w:lineRule="auto"/>
    </w:pPr>
  </w:style>
  <w:style w:type="character" w:customStyle="1" w:styleId="st1">
    <w:name w:val="st1"/>
    <w:basedOn w:val="DefaultParagraphFont"/>
    <w:rsid w:val="0099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39706">
      <w:bodyDiv w:val="1"/>
      <w:marLeft w:val="0"/>
      <w:marRight w:val="0"/>
      <w:marTop w:val="0"/>
      <w:marBottom w:val="0"/>
      <w:divBdr>
        <w:top w:val="none" w:sz="0" w:space="0" w:color="auto"/>
        <w:left w:val="none" w:sz="0" w:space="0" w:color="auto"/>
        <w:bottom w:val="none" w:sz="0" w:space="0" w:color="auto"/>
        <w:right w:val="none" w:sz="0" w:space="0" w:color="auto"/>
      </w:divBdr>
    </w:div>
    <w:div w:id="904678862">
      <w:bodyDiv w:val="1"/>
      <w:marLeft w:val="0"/>
      <w:marRight w:val="0"/>
      <w:marTop w:val="0"/>
      <w:marBottom w:val="0"/>
      <w:divBdr>
        <w:top w:val="none" w:sz="0" w:space="0" w:color="auto"/>
        <w:left w:val="none" w:sz="0" w:space="0" w:color="auto"/>
        <w:bottom w:val="none" w:sz="0" w:space="0" w:color="auto"/>
        <w:right w:val="none" w:sz="0" w:space="0" w:color="auto"/>
      </w:divBdr>
    </w:div>
    <w:div w:id="18631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3.jpeg"/></Relationships>
</file>

<file path=word/diagrams/_rels/data2.xml.rels><?xml version="1.0" encoding="UTF-8" standalone="yes"?>
<Relationships xmlns="http://schemas.openxmlformats.org/package/2006/relationships"><Relationship Id="rId1" Type="http://schemas.openxmlformats.org/officeDocument/2006/relationships/image" Target="../media/image4.jpeg"/></Relationships>
</file>

<file path=word/diagrams/_rels/data3.xml.rels><?xml version="1.0" encoding="UTF-8" standalone="yes"?>
<Relationships xmlns="http://schemas.openxmlformats.org/package/2006/relationships"><Relationship Id="rId1" Type="http://schemas.openxmlformats.org/officeDocument/2006/relationships/image" Target="../media/image5.jpeg"/></Relationships>
</file>

<file path=word/diagrams/_rels/data4.xml.rels><?xml version="1.0" encoding="UTF-8" standalone="yes"?>
<Relationships xmlns="http://schemas.openxmlformats.org/package/2006/relationships"><Relationship Id="rId1"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5.jpeg"/></Relationships>
</file>

<file path=word/diagrams/_rels/drawing4.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6AA4DC-BB15-446A-B5EF-736A061A5F57}" type="doc">
      <dgm:prSet loTypeId="urn:microsoft.com/office/officeart/2008/layout/BendingPictureSemiTransparentText" loCatId="picture" qsTypeId="urn:microsoft.com/office/officeart/2005/8/quickstyle/simple1" qsCatId="simple" csTypeId="urn:microsoft.com/office/officeart/2005/8/colors/accent1_2" csCatId="accent1" phldr="1"/>
      <dgm:spPr/>
    </dgm:pt>
    <dgm:pt modelId="{18BA7FE7-0126-4E8C-99C1-C72DE299E19F}">
      <dgm:prSet phldrT="[Text]" custT="1"/>
      <dgm:spPr/>
      <dgm:t>
        <a:bodyPr/>
        <a:lstStyle/>
        <a:p>
          <a:r>
            <a:rPr lang="en-GB" sz="1200" baseline="0"/>
            <a:t>Pine View, Huntly</a:t>
          </a:r>
        </a:p>
      </dgm:t>
    </dgm:pt>
    <dgm:pt modelId="{824C87AD-7298-491A-B530-EB432D8FD65C}" type="parTrans" cxnId="{0138E115-F0E9-4C5A-81A7-23F0E7DBCBB9}">
      <dgm:prSet/>
      <dgm:spPr/>
    </dgm:pt>
    <dgm:pt modelId="{F226E79C-8A46-498A-96CF-D105BF4960A3}" type="sibTrans" cxnId="{0138E115-F0E9-4C5A-81A7-23F0E7DBCBB9}">
      <dgm:prSet/>
      <dgm:spPr/>
    </dgm:pt>
    <dgm:pt modelId="{89EA0AF9-DED1-49AF-9189-37E0F2265C50}" type="pres">
      <dgm:prSet presAssocID="{786AA4DC-BB15-446A-B5EF-736A061A5F57}" presName="Name0" presStyleCnt="0">
        <dgm:presLayoutVars>
          <dgm:dir/>
          <dgm:resizeHandles val="exact"/>
        </dgm:presLayoutVars>
      </dgm:prSet>
      <dgm:spPr/>
    </dgm:pt>
    <dgm:pt modelId="{FE15B4DA-2F4D-47C3-B9BB-2EED488605A4}" type="pres">
      <dgm:prSet presAssocID="{18BA7FE7-0126-4E8C-99C1-C72DE299E19F}" presName="composite" presStyleCnt="0"/>
      <dgm:spPr/>
    </dgm:pt>
    <dgm:pt modelId="{2F2D192A-4B19-46E0-ACF2-E455921A1EFF}" type="pres">
      <dgm:prSet presAssocID="{18BA7FE7-0126-4E8C-99C1-C72DE299E19F}" presName="rect1" presStyleLbl="bgShp"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l="-18000" r="-18000"/>
          </a:stretch>
        </a:blipFill>
        <a:ln>
          <a:solidFill>
            <a:schemeClr val="accent1"/>
          </a:solidFill>
        </a:ln>
      </dgm:spPr>
      <dgm:extLst>
        <a:ext uri="{E40237B7-FDA0-4F09-8148-C483321AD2D9}">
          <dgm14:cNvPr xmlns:dgm14="http://schemas.microsoft.com/office/drawing/2010/diagram" id="0" name="" descr="S:\Groups\GCCCT\Photos\busplan photos\8 PINE VIEW_edited.JPG"/>
        </a:ext>
      </dgm:extLst>
    </dgm:pt>
    <dgm:pt modelId="{7BB06CB6-554B-4BEF-839E-28A6FB309E4F}" type="pres">
      <dgm:prSet presAssocID="{18BA7FE7-0126-4E8C-99C1-C72DE299E19F}" presName="rect2" presStyleLbl="trBgShp" presStyleIdx="0" presStyleCnt="1" custScaleY="44488">
        <dgm:presLayoutVars>
          <dgm:bulletEnabled val="1"/>
        </dgm:presLayoutVars>
      </dgm:prSet>
      <dgm:spPr/>
    </dgm:pt>
  </dgm:ptLst>
  <dgm:cxnLst>
    <dgm:cxn modelId="{4BA02B0B-B23D-458C-AC36-18C86F6B1E45}" type="presOf" srcId="{786AA4DC-BB15-446A-B5EF-736A061A5F57}" destId="{89EA0AF9-DED1-49AF-9189-37E0F2265C50}" srcOrd="0" destOrd="0" presId="urn:microsoft.com/office/officeart/2008/layout/BendingPictureSemiTransparentText"/>
    <dgm:cxn modelId="{0138E115-F0E9-4C5A-81A7-23F0E7DBCBB9}" srcId="{786AA4DC-BB15-446A-B5EF-736A061A5F57}" destId="{18BA7FE7-0126-4E8C-99C1-C72DE299E19F}" srcOrd="0" destOrd="0" parTransId="{824C87AD-7298-491A-B530-EB432D8FD65C}" sibTransId="{F226E79C-8A46-498A-96CF-D105BF4960A3}"/>
    <dgm:cxn modelId="{3A6E0FF9-D27C-4F61-969E-226DDE8343D5}" type="presOf" srcId="{18BA7FE7-0126-4E8C-99C1-C72DE299E19F}" destId="{7BB06CB6-554B-4BEF-839E-28A6FB309E4F}" srcOrd="0" destOrd="0" presId="urn:microsoft.com/office/officeart/2008/layout/BendingPictureSemiTransparentText"/>
    <dgm:cxn modelId="{DE7DD990-E7AB-4428-98BB-A2CF02A61DC9}" type="presParOf" srcId="{89EA0AF9-DED1-49AF-9189-37E0F2265C50}" destId="{FE15B4DA-2F4D-47C3-B9BB-2EED488605A4}" srcOrd="0" destOrd="0" presId="urn:microsoft.com/office/officeart/2008/layout/BendingPictureSemiTransparentText"/>
    <dgm:cxn modelId="{2C28B650-FA58-4DC5-8F7E-A0C755066CF9}" type="presParOf" srcId="{FE15B4DA-2F4D-47C3-B9BB-2EED488605A4}" destId="{2F2D192A-4B19-46E0-ACF2-E455921A1EFF}" srcOrd="0" destOrd="0" presId="urn:microsoft.com/office/officeart/2008/layout/BendingPictureSemiTransparentText"/>
    <dgm:cxn modelId="{2E4F79D1-0737-4D8E-9B25-936D5B486CB2}" type="presParOf" srcId="{FE15B4DA-2F4D-47C3-B9BB-2EED488605A4}" destId="{7BB06CB6-554B-4BEF-839E-28A6FB309E4F}" srcOrd="1" destOrd="0" presId="urn:microsoft.com/office/officeart/2008/layout/BendingPictureSemiTransparentTex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BCEC3D-B14D-4301-90C7-1410A96FA984}" type="doc">
      <dgm:prSet loTypeId="urn:microsoft.com/office/officeart/2008/layout/BendingPictureSemiTransparentText" loCatId="picture" qsTypeId="urn:microsoft.com/office/officeart/2005/8/quickstyle/simple1" qsCatId="simple" csTypeId="urn:microsoft.com/office/officeart/2005/8/colors/accent1_2" csCatId="accent1" phldr="1"/>
      <dgm:spPr/>
    </dgm:pt>
    <dgm:pt modelId="{EA25F36D-6636-4D6C-9D00-27FA3D029366}">
      <dgm:prSet phldrT="[Text]" custT="1"/>
      <dgm:spPr/>
      <dgm:t>
        <a:bodyPr/>
        <a:lstStyle/>
        <a:p>
          <a:r>
            <a:rPr lang="en-GB" sz="1200" baseline="0">
              <a:solidFill>
                <a:sysClr val="windowText" lastClr="000000"/>
              </a:solidFill>
            </a:rPr>
            <a:t>Rowan Avenue, Huntly</a:t>
          </a:r>
        </a:p>
      </dgm:t>
    </dgm:pt>
    <dgm:pt modelId="{4B263581-BA82-4222-A486-F733102F00F9}" type="parTrans" cxnId="{3BBE408D-E798-49E8-A580-C56423A4644B}">
      <dgm:prSet/>
      <dgm:spPr/>
      <dgm:t>
        <a:bodyPr/>
        <a:lstStyle/>
        <a:p>
          <a:endParaRPr lang="en-GB"/>
        </a:p>
      </dgm:t>
    </dgm:pt>
    <dgm:pt modelId="{EB309B17-B3CE-4C90-B4AB-250A33800828}" type="sibTrans" cxnId="{3BBE408D-E798-49E8-A580-C56423A4644B}">
      <dgm:prSet/>
      <dgm:spPr/>
      <dgm:t>
        <a:bodyPr/>
        <a:lstStyle/>
        <a:p>
          <a:endParaRPr lang="en-GB"/>
        </a:p>
      </dgm:t>
    </dgm:pt>
    <dgm:pt modelId="{C62CF882-CA7A-4B4B-B8D1-206ACC0CB5B7}" type="pres">
      <dgm:prSet presAssocID="{4DBCEC3D-B14D-4301-90C7-1410A96FA984}" presName="Name0" presStyleCnt="0">
        <dgm:presLayoutVars>
          <dgm:dir/>
          <dgm:resizeHandles val="exact"/>
        </dgm:presLayoutVars>
      </dgm:prSet>
      <dgm:spPr/>
    </dgm:pt>
    <dgm:pt modelId="{FC1FF093-90C9-40C6-8174-215B31F75C32}" type="pres">
      <dgm:prSet presAssocID="{EA25F36D-6636-4D6C-9D00-27FA3D029366}" presName="composite" presStyleCnt="0"/>
      <dgm:spPr/>
    </dgm:pt>
    <dgm:pt modelId="{55694593-5689-4D4B-A0B4-F59B4EC5753C}" type="pres">
      <dgm:prSet presAssocID="{EA25F36D-6636-4D6C-9D00-27FA3D029366}" presName="rect1" presStyleLbl="bgShp"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solidFill>
            <a:schemeClr val="tx2"/>
          </a:solidFill>
        </a:ln>
      </dgm:spPr>
      <dgm:extLst>
        <a:ext uri="{E40237B7-FDA0-4F09-8148-C483321AD2D9}">
          <dgm14:cNvPr xmlns:dgm14="http://schemas.microsoft.com/office/drawing/2010/diagram" id="0" name="" descr="S:\Groups\GCCCT\Photos\busplan photos\ROWAN BATHRM.JPG"/>
        </a:ext>
      </dgm:extLst>
    </dgm:pt>
    <dgm:pt modelId="{61D07B33-E603-43A7-AA7F-E71F0C07153D}" type="pres">
      <dgm:prSet presAssocID="{EA25F36D-6636-4D6C-9D00-27FA3D029366}" presName="rect2" presStyleLbl="trBgShp" presStyleIdx="0" presStyleCnt="1" custScaleY="39432">
        <dgm:presLayoutVars>
          <dgm:bulletEnabled val="1"/>
        </dgm:presLayoutVars>
      </dgm:prSet>
      <dgm:spPr/>
    </dgm:pt>
  </dgm:ptLst>
  <dgm:cxnLst>
    <dgm:cxn modelId="{3BBE408D-E798-49E8-A580-C56423A4644B}" srcId="{4DBCEC3D-B14D-4301-90C7-1410A96FA984}" destId="{EA25F36D-6636-4D6C-9D00-27FA3D029366}" srcOrd="0" destOrd="0" parTransId="{4B263581-BA82-4222-A486-F733102F00F9}" sibTransId="{EB309B17-B3CE-4C90-B4AB-250A33800828}"/>
    <dgm:cxn modelId="{5FBC79CC-D01C-4399-8B0E-656FB92F1A60}" type="presOf" srcId="{EA25F36D-6636-4D6C-9D00-27FA3D029366}" destId="{61D07B33-E603-43A7-AA7F-E71F0C07153D}" srcOrd="0" destOrd="0" presId="urn:microsoft.com/office/officeart/2008/layout/BendingPictureSemiTransparentText"/>
    <dgm:cxn modelId="{373BDCEF-157A-4F46-99E0-D1D58C397E06}" type="presOf" srcId="{4DBCEC3D-B14D-4301-90C7-1410A96FA984}" destId="{C62CF882-CA7A-4B4B-B8D1-206ACC0CB5B7}" srcOrd="0" destOrd="0" presId="urn:microsoft.com/office/officeart/2008/layout/BendingPictureSemiTransparentText"/>
    <dgm:cxn modelId="{30D80445-D952-4F88-8904-1A25630C9405}" type="presParOf" srcId="{C62CF882-CA7A-4B4B-B8D1-206ACC0CB5B7}" destId="{FC1FF093-90C9-40C6-8174-215B31F75C32}" srcOrd="0" destOrd="0" presId="urn:microsoft.com/office/officeart/2008/layout/BendingPictureSemiTransparentText"/>
    <dgm:cxn modelId="{A09ADCCF-2BD7-45D2-B9EF-F592093536D6}" type="presParOf" srcId="{FC1FF093-90C9-40C6-8174-215B31F75C32}" destId="{55694593-5689-4D4B-A0B4-F59B4EC5753C}" srcOrd="0" destOrd="0" presId="urn:microsoft.com/office/officeart/2008/layout/BendingPictureSemiTransparentText"/>
    <dgm:cxn modelId="{CFE29464-59BE-41B1-B7FB-3DA6F3BF1DB3}" type="presParOf" srcId="{FC1FF093-90C9-40C6-8174-215B31F75C32}" destId="{61D07B33-E603-43A7-AA7F-E71F0C07153D}" srcOrd="1" destOrd="0" presId="urn:microsoft.com/office/officeart/2008/layout/BendingPictureSemiTransparentTex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BCBCB8-58A7-4E5E-9CB9-D23875BA81D9}" type="doc">
      <dgm:prSet loTypeId="urn:microsoft.com/office/officeart/2008/layout/BendingPictureSemiTransparentText" loCatId="picture" qsTypeId="urn:microsoft.com/office/officeart/2005/8/quickstyle/simple1" qsCatId="simple" csTypeId="urn:microsoft.com/office/officeart/2005/8/colors/accent1_2" csCatId="accent1" phldr="1"/>
      <dgm:spPr/>
    </dgm:pt>
    <dgm:pt modelId="{616483EF-E60B-49D0-9C15-F772CCDAD6D1}">
      <dgm:prSet phldrT="[Text]" custT="1"/>
      <dgm:spPr/>
      <dgm:t>
        <a:bodyPr/>
        <a:lstStyle/>
        <a:p>
          <a:r>
            <a:rPr lang="en-GB" sz="1200" baseline="0"/>
            <a:t>Rowan Avenue, Huntly</a:t>
          </a:r>
        </a:p>
      </dgm:t>
    </dgm:pt>
    <dgm:pt modelId="{0E89C5E4-7142-4DD3-9F00-DCD4FBA7F24F}" type="parTrans" cxnId="{C20B2BDD-5C8B-4047-AD9D-96A8C7C15633}">
      <dgm:prSet/>
      <dgm:spPr/>
    </dgm:pt>
    <dgm:pt modelId="{B4FC2EB4-2E88-47B3-BF86-8BD04A7ED030}" type="sibTrans" cxnId="{C20B2BDD-5C8B-4047-AD9D-96A8C7C15633}">
      <dgm:prSet/>
      <dgm:spPr/>
    </dgm:pt>
    <dgm:pt modelId="{1452CC8A-C916-4CF4-8022-C7EC89EE632B}" type="pres">
      <dgm:prSet presAssocID="{B5BCBCB8-58A7-4E5E-9CB9-D23875BA81D9}" presName="Name0" presStyleCnt="0">
        <dgm:presLayoutVars>
          <dgm:dir/>
          <dgm:resizeHandles val="exact"/>
        </dgm:presLayoutVars>
      </dgm:prSet>
      <dgm:spPr/>
    </dgm:pt>
    <dgm:pt modelId="{F8BF424A-4ED2-4D63-A723-4FE6F4B880FC}" type="pres">
      <dgm:prSet presAssocID="{616483EF-E60B-49D0-9C15-F772CCDAD6D1}" presName="composite" presStyleCnt="0"/>
      <dgm:spPr/>
    </dgm:pt>
    <dgm:pt modelId="{17B2C577-9C32-4AAC-94CA-C8056780EE4D}" type="pres">
      <dgm:prSet presAssocID="{616483EF-E60B-49D0-9C15-F772CCDAD6D1}" presName="rect1" presStyleLbl="bgShp"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solidFill>
            <a:schemeClr val="tx2"/>
          </a:solidFill>
        </a:ln>
      </dgm:spPr>
      <dgm:extLst>
        <a:ext uri="{E40237B7-FDA0-4F09-8148-C483321AD2D9}">
          <dgm14:cNvPr xmlns:dgm14="http://schemas.microsoft.com/office/drawing/2010/diagram" id="0" name="" descr="S:\Groups\GCCCT\Photos\busplan photos\ROWAN LIVING RM.JPG"/>
        </a:ext>
      </dgm:extLst>
    </dgm:pt>
    <dgm:pt modelId="{85D65060-10E2-4D5E-AE4E-4CF7AA6BB7BD}" type="pres">
      <dgm:prSet presAssocID="{616483EF-E60B-49D0-9C15-F772CCDAD6D1}" presName="rect2" presStyleLbl="trBgShp" presStyleIdx="0" presStyleCnt="1" custScaleY="41482">
        <dgm:presLayoutVars>
          <dgm:bulletEnabled val="1"/>
        </dgm:presLayoutVars>
      </dgm:prSet>
      <dgm:spPr/>
    </dgm:pt>
  </dgm:ptLst>
  <dgm:cxnLst>
    <dgm:cxn modelId="{51E8C954-D65F-4016-8A4D-758CF495FD7E}" type="presOf" srcId="{B5BCBCB8-58A7-4E5E-9CB9-D23875BA81D9}" destId="{1452CC8A-C916-4CF4-8022-C7EC89EE632B}" srcOrd="0" destOrd="0" presId="urn:microsoft.com/office/officeart/2008/layout/BendingPictureSemiTransparentText"/>
    <dgm:cxn modelId="{AA95428E-D737-4767-BD49-BC3EBBD5907F}" type="presOf" srcId="{616483EF-E60B-49D0-9C15-F772CCDAD6D1}" destId="{85D65060-10E2-4D5E-AE4E-4CF7AA6BB7BD}" srcOrd="0" destOrd="0" presId="urn:microsoft.com/office/officeart/2008/layout/BendingPictureSemiTransparentText"/>
    <dgm:cxn modelId="{C20B2BDD-5C8B-4047-AD9D-96A8C7C15633}" srcId="{B5BCBCB8-58A7-4E5E-9CB9-D23875BA81D9}" destId="{616483EF-E60B-49D0-9C15-F772CCDAD6D1}" srcOrd="0" destOrd="0" parTransId="{0E89C5E4-7142-4DD3-9F00-DCD4FBA7F24F}" sibTransId="{B4FC2EB4-2E88-47B3-BF86-8BD04A7ED030}"/>
    <dgm:cxn modelId="{7144045F-2D07-4AC5-8105-03FDFFFF4A30}" type="presParOf" srcId="{1452CC8A-C916-4CF4-8022-C7EC89EE632B}" destId="{F8BF424A-4ED2-4D63-A723-4FE6F4B880FC}" srcOrd="0" destOrd="0" presId="urn:microsoft.com/office/officeart/2008/layout/BendingPictureSemiTransparentText"/>
    <dgm:cxn modelId="{764CDCDC-5250-465F-9A6C-0D5EC050FCB5}" type="presParOf" srcId="{F8BF424A-4ED2-4D63-A723-4FE6F4B880FC}" destId="{17B2C577-9C32-4AAC-94CA-C8056780EE4D}" srcOrd="0" destOrd="0" presId="urn:microsoft.com/office/officeart/2008/layout/BendingPictureSemiTransparentText"/>
    <dgm:cxn modelId="{1BB77AF6-F598-4885-89D3-62CFFBE9E1C8}" type="presParOf" srcId="{F8BF424A-4ED2-4D63-A723-4FE6F4B880FC}" destId="{85D65060-10E2-4D5E-AE4E-4CF7AA6BB7BD}" srcOrd="1" destOrd="0" presId="urn:microsoft.com/office/officeart/2008/layout/BendingPictureSemiTransparentTex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6302B2C-C55F-4CD5-BB0A-CA3670949F0D}" type="doc">
      <dgm:prSet loTypeId="urn:microsoft.com/office/officeart/2008/layout/BendingPictureSemiTransparentText" loCatId="picture" qsTypeId="urn:microsoft.com/office/officeart/2005/8/quickstyle/simple1" qsCatId="simple" csTypeId="urn:microsoft.com/office/officeart/2005/8/colors/accent1_2" csCatId="accent1" phldr="1"/>
      <dgm:spPr/>
    </dgm:pt>
    <dgm:pt modelId="{0C1B4E79-BDEC-4B92-BE09-37F1CFACFDB9}">
      <dgm:prSet phldrT="[Text]" custT="1"/>
      <dgm:spPr/>
      <dgm:t>
        <a:bodyPr/>
        <a:lstStyle/>
        <a:p>
          <a:r>
            <a:rPr lang="en-GB" sz="1200" baseline="0"/>
            <a:t>Greyfriars Close, Elgin</a:t>
          </a:r>
        </a:p>
      </dgm:t>
    </dgm:pt>
    <dgm:pt modelId="{1E9B9A57-65FE-4AEB-8589-E8432C870261}" type="parTrans" cxnId="{7F5A94D9-C0F9-481B-9B1A-1DD9D2EDAA97}">
      <dgm:prSet/>
      <dgm:spPr/>
      <dgm:t>
        <a:bodyPr/>
        <a:lstStyle/>
        <a:p>
          <a:endParaRPr lang="en-GB"/>
        </a:p>
      </dgm:t>
    </dgm:pt>
    <dgm:pt modelId="{8D8AEFB9-C4C7-413F-918C-45E12C3727F7}" type="sibTrans" cxnId="{7F5A94D9-C0F9-481B-9B1A-1DD9D2EDAA97}">
      <dgm:prSet/>
      <dgm:spPr/>
      <dgm:t>
        <a:bodyPr/>
        <a:lstStyle/>
        <a:p>
          <a:endParaRPr lang="en-GB"/>
        </a:p>
      </dgm:t>
    </dgm:pt>
    <dgm:pt modelId="{80019892-B7CA-4CAC-8A70-75EC55493CE1}" type="pres">
      <dgm:prSet presAssocID="{16302B2C-C55F-4CD5-BB0A-CA3670949F0D}" presName="Name0" presStyleCnt="0">
        <dgm:presLayoutVars>
          <dgm:dir/>
          <dgm:resizeHandles val="exact"/>
        </dgm:presLayoutVars>
      </dgm:prSet>
      <dgm:spPr/>
    </dgm:pt>
    <dgm:pt modelId="{D760A895-30D6-4823-9FE9-70A7B0F2CA9A}" type="pres">
      <dgm:prSet presAssocID="{0C1B4E79-BDEC-4B92-BE09-37F1CFACFDB9}" presName="composite" presStyleCnt="0"/>
      <dgm:spPr/>
    </dgm:pt>
    <dgm:pt modelId="{3E53987F-A78F-4865-8D18-0064CFFD1136}" type="pres">
      <dgm:prSet presAssocID="{0C1B4E79-BDEC-4B92-BE09-37F1CFACFDB9}" presName="rect1" presStyleLbl="bgShp" presStyleIdx="0" presStyleCnt="1" custLinFactNeighborX="-348" custLinFactNeighborY="3304"/>
      <dgm:spPr>
        <a:blipFill>
          <a:blip xmlns:r="http://schemas.openxmlformats.org/officeDocument/2006/relationships" r:embed="rId1">
            <a:extLst>
              <a:ext uri="{28A0092B-C50C-407E-A947-70E740481C1C}">
                <a14:useLocalDpi xmlns:a14="http://schemas.microsoft.com/office/drawing/2010/main" val="0"/>
              </a:ext>
            </a:extLst>
          </a:blip>
          <a:srcRect/>
          <a:stretch>
            <a:fillRect l="-35000" r="-35000"/>
          </a:stretch>
        </a:blipFill>
        <a:ln>
          <a:solidFill>
            <a:schemeClr val="tx2"/>
          </a:solidFill>
        </a:ln>
      </dgm:spPr>
      <dgm:extLst>
        <a:ext uri="{E40237B7-FDA0-4F09-8148-C483321AD2D9}">
          <dgm14:cNvPr xmlns:dgm14="http://schemas.microsoft.com/office/drawing/2010/diagram" id="0" name="" descr="S:\Groups\GCCCT\Photos\busplan photos\GREYFR OUTSIDE_edited.JPG"/>
        </a:ext>
      </dgm:extLst>
    </dgm:pt>
    <dgm:pt modelId="{5E3CB382-10C6-4736-9104-47C6372CB733}" type="pres">
      <dgm:prSet presAssocID="{0C1B4E79-BDEC-4B92-BE09-37F1CFACFDB9}" presName="rect2" presStyleLbl="trBgShp" presStyleIdx="0" presStyleCnt="1" custScaleY="36350">
        <dgm:presLayoutVars>
          <dgm:bulletEnabled val="1"/>
        </dgm:presLayoutVars>
      </dgm:prSet>
      <dgm:spPr/>
    </dgm:pt>
  </dgm:ptLst>
  <dgm:cxnLst>
    <dgm:cxn modelId="{5290AD41-85B2-4D65-847D-F850264984BA}" type="presOf" srcId="{0C1B4E79-BDEC-4B92-BE09-37F1CFACFDB9}" destId="{5E3CB382-10C6-4736-9104-47C6372CB733}" srcOrd="0" destOrd="0" presId="urn:microsoft.com/office/officeart/2008/layout/BendingPictureSemiTransparentText"/>
    <dgm:cxn modelId="{9F8CBC61-5D2A-4A33-A76C-23CF7CF59B80}" type="presOf" srcId="{16302B2C-C55F-4CD5-BB0A-CA3670949F0D}" destId="{80019892-B7CA-4CAC-8A70-75EC55493CE1}" srcOrd="0" destOrd="0" presId="urn:microsoft.com/office/officeart/2008/layout/BendingPictureSemiTransparentText"/>
    <dgm:cxn modelId="{7F5A94D9-C0F9-481B-9B1A-1DD9D2EDAA97}" srcId="{16302B2C-C55F-4CD5-BB0A-CA3670949F0D}" destId="{0C1B4E79-BDEC-4B92-BE09-37F1CFACFDB9}" srcOrd="0" destOrd="0" parTransId="{1E9B9A57-65FE-4AEB-8589-E8432C870261}" sibTransId="{8D8AEFB9-C4C7-413F-918C-45E12C3727F7}"/>
    <dgm:cxn modelId="{AC513AED-3017-4EC3-913F-6AC688214DED}" type="presParOf" srcId="{80019892-B7CA-4CAC-8A70-75EC55493CE1}" destId="{D760A895-30D6-4823-9FE9-70A7B0F2CA9A}" srcOrd="0" destOrd="0" presId="urn:microsoft.com/office/officeart/2008/layout/BendingPictureSemiTransparentText"/>
    <dgm:cxn modelId="{0CB8F515-6116-429C-9518-14BBBFB97E3E}" type="presParOf" srcId="{D760A895-30D6-4823-9FE9-70A7B0F2CA9A}" destId="{3E53987F-A78F-4865-8D18-0064CFFD1136}" srcOrd="0" destOrd="0" presId="urn:microsoft.com/office/officeart/2008/layout/BendingPictureSemiTransparentText"/>
    <dgm:cxn modelId="{4A65AC12-F13E-4474-9F6D-0E7CB8CDBFCF}" type="presParOf" srcId="{D760A895-30D6-4823-9FE9-70A7B0F2CA9A}" destId="{5E3CB382-10C6-4736-9104-47C6372CB733}" srcOrd="1" destOrd="0" presId="urn:microsoft.com/office/officeart/2008/layout/BendingPictureSemiTransparentTex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D192A-4B19-46E0-ACF2-E455921A1EFF}">
      <dsp:nvSpPr>
        <dsp:cNvPr id="0" name=""/>
        <dsp:cNvSpPr/>
      </dsp:nvSpPr>
      <dsp:spPr>
        <a:xfrm>
          <a:off x="429731" y="976"/>
          <a:ext cx="2331412" cy="199829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8000" r="-18000"/>
          </a:stretch>
        </a:blipFill>
        <a:ln>
          <a:solidFill>
            <a:schemeClr val="accent1"/>
          </a:solidFill>
        </a:ln>
        <a:effectLst/>
      </dsp:spPr>
      <dsp:style>
        <a:lnRef idx="0">
          <a:scrgbClr r="0" g="0" b="0"/>
        </a:lnRef>
        <a:fillRef idx="1">
          <a:scrgbClr r="0" g="0" b="0"/>
        </a:fillRef>
        <a:effectRef idx="0">
          <a:scrgbClr r="0" g="0" b="0"/>
        </a:effectRef>
        <a:fontRef idx="minor"/>
      </dsp:style>
    </dsp:sp>
    <dsp:sp modelId="{7BB06CB6-554B-4BEF-839E-28A6FB309E4F}">
      <dsp:nvSpPr>
        <dsp:cNvPr id="0" name=""/>
        <dsp:cNvSpPr/>
      </dsp:nvSpPr>
      <dsp:spPr>
        <a:xfrm>
          <a:off x="429731" y="1532899"/>
          <a:ext cx="2331412" cy="213360"/>
        </a:xfrm>
        <a:prstGeom prst="rect">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baseline="0"/>
            <a:t>Pine View, Huntly</a:t>
          </a:r>
        </a:p>
      </dsp:txBody>
      <dsp:txXfrm>
        <a:off x="429731" y="1532899"/>
        <a:ext cx="2331412" cy="213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94593-5689-4D4B-A0B4-F59B4EC5753C}">
      <dsp:nvSpPr>
        <dsp:cNvPr id="0" name=""/>
        <dsp:cNvSpPr/>
      </dsp:nvSpPr>
      <dsp:spPr>
        <a:xfrm>
          <a:off x="190187" y="1125"/>
          <a:ext cx="2686675" cy="230279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solidFill>
            <a:schemeClr val="tx2"/>
          </a:solidFill>
        </a:ln>
        <a:effectLst/>
      </dsp:spPr>
      <dsp:style>
        <a:lnRef idx="0">
          <a:scrgbClr r="0" g="0" b="0"/>
        </a:lnRef>
        <a:fillRef idx="1">
          <a:scrgbClr r="0" g="0" b="0"/>
        </a:fillRef>
        <a:effectRef idx="0">
          <a:scrgbClr r="0" g="0" b="0"/>
        </a:effectRef>
        <a:fontRef idx="minor"/>
      </dsp:style>
    </dsp:sp>
    <dsp:sp modelId="{61D07B33-E603-43A7-AA7F-E71F0C07153D}">
      <dsp:nvSpPr>
        <dsp:cNvPr id="0" name=""/>
        <dsp:cNvSpPr/>
      </dsp:nvSpPr>
      <dsp:spPr>
        <a:xfrm>
          <a:off x="190187" y="1780455"/>
          <a:ext cx="2686675" cy="217929"/>
        </a:xfrm>
        <a:prstGeom prst="rect">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ysClr val="windowText" lastClr="000000"/>
              </a:solidFill>
            </a:rPr>
            <a:t>Rowan Avenue, Huntly</a:t>
          </a:r>
        </a:p>
      </dsp:txBody>
      <dsp:txXfrm>
        <a:off x="190187" y="1780455"/>
        <a:ext cx="2686675" cy="2179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2C577-9C32-4AAC-94CA-C8056780EE4D}">
      <dsp:nvSpPr>
        <dsp:cNvPr id="0" name=""/>
        <dsp:cNvSpPr/>
      </dsp:nvSpPr>
      <dsp:spPr>
        <a:xfrm>
          <a:off x="177381" y="1032"/>
          <a:ext cx="2464636" cy="2112485"/>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solidFill>
            <a:schemeClr val="tx2"/>
          </a:solidFill>
        </a:ln>
        <a:effectLst/>
      </dsp:spPr>
      <dsp:style>
        <a:lnRef idx="0">
          <a:scrgbClr r="0" g="0" b="0"/>
        </a:lnRef>
        <a:fillRef idx="1">
          <a:scrgbClr r="0" g="0" b="0"/>
        </a:fillRef>
        <a:effectRef idx="0">
          <a:scrgbClr r="0" g="0" b="0"/>
        </a:effectRef>
        <a:fontRef idx="minor"/>
      </dsp:style>
    </dsp:sp>
    <dsp:sp modelId="{85D65060-10E2-4D5E-AE4E-4CF7AA6BB7BD}">
      <dsp:nvSpPr>
        <dsp:cNvPr id="0" name=""/>
        <dsp:cNvSpPr/>
      </dsp:nvSpPr>
      <dsp:spPr>
        <a:xfrm>
          <a:off x="177381" y="1628114"/>
          <a:ext cx="2464636" cy="210312"/>
        </a:xfrm>
        <a:prstGeom prst="rect">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baseline="0"/>
            <a:t>Rowan Avenue, Huntly</a:t>
          </a:r>
        </a:p>
      </dsp:txBody>
      <dsp:txXfrm>
        <a:off x="177381" y="1628114"/>
        <a:ext cx="2464636" cy="2103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53987F-A78F-4865-8D18-0064CFFD1136}">
      <dsp:nvSpPr>
        <dsp:cNvPr id="0" name=""/>
        <dsp:cNvSpPr/>
      </dsp:nvSpPr>
      <dsp:spPr>
        <a:xfrm>
          <a:off x="953816" y="2288"/>
          <a:ext cx="2731083" cy="234086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5000" r="-35000"/>
          </a:stretch>
        </a:blipFill>
        <a:ln>
          <a:solidFill>
            <a:schemeClr val="tx2"/>
          </a:solidFill>
        </a:ln>
        <a:effectLst/>
      </dsp:spPr>
      <dsp:style>
        <a:lnRef idx="0">
          <a:scrgbClr r="0" g="0" b="0"/>
        </a:lnRef>
        <a:fillRef idx="1">
          <a:scrgbClr r="0" g="0" b="0"/>
        </a:fillRef>
        <a:effectRef idx="0">
          <a:scrgbClr r="0" g="0" b="0"/>
        </a:effectRef>
        <a:fontRef idx="minor"/>
      </dsp:style>
    </dsp:sp>
    <dsp:sp modelId="{5E3CB382-10C6-4736-9104-47C6372CB733}">
      <dsp:nvSpPr>
        <dsp:cNvPr id="0" name=""/>
        <dsp:cNvSpPr/>
      </dsp:nvSpPr>
      <dsp:spPr>
        <a:xfrm>
          <a:off x="963320" y="1818542"/>
          <a:ext cx="2731083" cy="204216"/>
        </a:xfrm>
        <a:prstGeom prst="rect">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baseline="0"/>
            <a:t>Greyfriars Close, Elgin</a:t>
          </a:r>
        </a:p>
      </dsp:txBody>
      <dsp:txXfrm>
        <a:off x="963320" y="1818542"/>
        <a:ext cx="2731083" cy="204216"/>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SemiTransparentText">
  <dgm:title val=""/>
  <dgm:desc val=""/>
  <dgm:catLst>
    <dgm:cat type="picture" pri="7000"/>
    <dgm:cat type="pictureconvert" pri="7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19"/>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1667"/>
        </dgm:alg>
        <dgm:shape xmlns:r="http://schemas.openxmlformats.org/officeDocument/2006/relationships" r:blip="">
          <dgm:adjLst/>
        </dgm:shape>
        <dgm:constrLst>
          <dgm:constr type="l" for="ch" forName="rect1" refType="w" fact="0"/>
          <dgm:constr type="t" for="ch" forName="rect1" refType="h" fact="0"/>
          <dgm:constr type="w" for="ch" forName="rect1" refType="w"/>
          <dgm:constr type="h" for="ch" forName="rect1" refType="h"/>
          <dgm:constr type="l" for="ch" forName="rect2" refType="w" fact="0"/>
          <dgm:constr type="t" for="ch" forName="rect2" refType="h" fact="0.7"/>
          <dgm:constr type="w" for="ch" forName="rect2" refType="w"/>
          <dgm:constr type="h" for="ch" forName="rect2" refType="h" fact="0.24"/>
        </dgm:constrLst>
        <dgm:layoutNode name="rect1" styleLbl="bgShp">
          <dgm:alg type="sp"/>
          <dgm:shape xmlns:r="http://schemas.openxmlformats.org/officeDocument/2006/relationships" type="rect" r:blip="" blipPhldr="1">
            <dgm:adjLst/>
          </dgm:shape>
          <dgm:presOf/>
        </dgm:layoutNode>
        <dgm:layoutNode name="rect2" styleLbl="trBgShp">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SemiTransparentText">
  <dgm:title val=""/>
  <dgm:desc val=""/>
  <dgm:catLst>
    <dgm:cat type="picture" pri="7000"/>
    <dgm:cat type="pictureconvert" pri="7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19"/>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1667"/>
        </dgm:alg>
        <dgm:shape xmlns:r="http://schemas.openxmlformats.org/officeDocument/2006/relationships" r:blip="">
          <dgm:adjLst/>
        </dgm:shape>
        <dgm:constrLst>
          <dgm:constr type="l" for="ch" forName="rect1" refType="w" fact="0"/>
          <dgm:constr type="t" for="ch" forName="rect1" refType="h" fact="0"/>
          <dgm:constr type="w" for="ch" forName="rect1" refType="w"/>
          <dgm:constr type="h" for="ch" forName="rect1" refType="h"/>
          <dgm:constr type="l" for="ch" forName="rect2" refType="w" fact="0"/>
          <dgm:constr type="t" for="ch" forName="rect2" refType="h" fact="0.7"/>
          <dgm:constr type="w" for="ch" forName="rect2" refType="w"/>
          <dgm:constr type="h" for="ch" forName="rect2" refType="h" fact="0.24"/>
        </dgm:constrLst>
        <dgm:layoutNode name="rect1" styleLbl="bgShp">
          <dgm:alg type="sp"/>
          <dgm:shape xmlns:r="http://schemas.openxmlformats.org/officeDocument/2006/relationships" type="rect" r:blip="" blipPhldr="1">
            <dgm:adjLst/>
          </dgm:shape>
          <dgm:presOf/>
        </dgm:layoutNode>
        <dgm:layoutNode name="rect2" styleLbl="trBgShp">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BendingPictureSemiTransparentText">
  <dgm:title val=""/>
  <dgm:desc val=""/>
  <dgm:catLst>
    <dgm:cat type="picture" pri="7000"/>
    <dgm:cat type="pictureconvert" pri="7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19"/>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1667"/>
        </dgm:alg>
        <dgm:shape xmlns:r="http://schemas.openxmlformats.org/officeDocument/2006/relationships" r:blip="">
          <dgm:adjLst/>
        </dgm:shape>
        <dgm:constrLst>
          <dgm:constr type="l" for="ch" forName="rect1" refType="w" fact="0"/>
          <dgm:constr type="t" for="ch" forName="rect1" refType="h" fact="0"/>
          <dgm:constr type="w" for="ch" forName="rect1" refType="w"/>
          <dgm:constr type="h" for="ch" forName="rect1" refType="h"/>
          <dgm:constr type="l" for="ch" forName="rect2" refType="w" fact="0"/>
          <dgm:constr type="t" for="ch" forName="rect2" refType="h" fact="0.7"/>
          <dgm:constr type="w" for="ch" forName="rect2" refType="w"/>
          <dgm:constr type="h" for="ch" forName="rect2" refType="h" fact="0.24"/>
        </dgm:constrLst>
        <dgm:layoutNode name="rect1" styleLbl="bgShp">
          <dgm:alg type="sp"/>
          <dgm:shape xmlns:r="http://schemas.openxmlformats.org/officeDocument/2006/relationships" type="rect" r:blip="" blipPhldr="1">
            <dgm:adjLst/>
          </dgm:shape>
          <dgm:presOf/>
        </dgm:layoutNode>
        <dgm:layoutNode name="rect2" styleLbl="trBgShp">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BendingPictureSemiTransparentText">
  <dgm:title val=""/>
  <dgm:desc val=""/>
  <dgm:catLst>
    <dgm:cat type="picture" pri="7000"/>
    <dgm:cat type="pictureconvert" pri="7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19"/>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1667"/>
        </dgm:alg>
        <dgm:shape xmlns:r="http://schemas.openxmlformats.org/officeDocument/2006/relationships" r:blip="">
          <dgm:adjLst/>
        </dgm:shape>
        <dgm:constrLst>
          <dgm:constr type="l" for="ch" forName="rect1" refType="w" fact="0"/>
          <dgm:constr type="t" for="ch" forName="rect1" refType="h" fact="0"/>
          <dgm:constr type="w" for="ch" forName="rect1" refType="w"/>
          <dgm:constr type="h" for="ch" forName="rect1" refType="h"/>
          <dgm:constr type="l" for="ch" forName="rect2" refType="w" fact="0"/>
          <dgm:constr type="t" for="ch" forName="rect2" refType="h" fact="0.7"/>
          <dgm:constr type="w" for="ch" forName="rect2" refType="w"/>
          <dgm:constr type="h" for="ch" forName="rect2" refType="h" fact="0.24"/>
        </dgm:constrLst>
        <dgm:layoutNode name="rect1" styleLbl="bgShp">
          <dgm:alg type="sp"/>
          <dgm:shape xmlns:r="http://schemas.openxmlformats.org/officeDocument/2006/relationships" type="rect" r:blip="" blipPhldr="1">
            <dgm:adjLst/>
          </dgm:shape>
          <dgm:presOf/>
        </dgm:layoutNode>
        <dgm:layoutNode name="rect2" styleLbl="trBgShp">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72809D-5CF4-496D-981C-DBDC830B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Emma Ozanne</cp:lastModifiedBy>
  <cp:revision>3</cp:revision>
  <cp:lastPrinted>2020-02-05T09:25:00Z</cp:lastPrinted>
  <dcterms:created xsi:type="dcterms:W3CDTF">2020-02-05T09:26:00Z</dcterms:created>
  <dcterms:modified xsi:type="dcterms:W3CDTF">2020-11-04T10:41:00Z</dcterms:modified>
</cp:coreProperties>
</file>